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9676" w:type="dxa"/>
        <w:tblInd w:w="-34" w:type="dxa"/>
        <w:tblLayout w:type="fixed"/>
        <w:tblCellMar>
          <w:top w:w="0" w:type="dxa"/>
          <w:left w:w="108" w:type="dxa"/>
          <w:bottom w:w="0" w:type="dxa"/>
          <w:right w:w="108" w:type="dxa"/>
        </w:tblCellMar>
      </w:tblPr>
      <w:tblGrid>
        <w:gridCol w:w="4427"/>
        <w:gridCol w:w="5249"/>
      </w:tblGrid>
      <w:tr w14:paraId="007FA0E5">
        <w:tblPrEx>
          <w:tblCellMar>
            <w:top w:w="0" w:type="dxa"/>
            <w:left w:w="108" w:type="dxa"/>
            <w:bottom w:w="0" w:type="dxa"/>
            <w:right w:w="108" w:type="dxa"/>
          </w:tblCellMar>
        </w:tblPrEx>
        <w:trPr>
          <w:trHeight w:val="1094" w:hRule="atLeast"/>
        </w:trPr>
        <w:tc>
          <w:tcPr>
            <w:tcW w:w="4427" w:type="dxa"/>
          </w:tcPr>
          <w:p w14:paraId="52796E1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Calibri" w:cs="Times New Roman"/>
                <w:bCs/>
                <w:color w:val="auto"/>
                <w:sz w:val="28"/>
                <w:szCs w:val="28"/>
              </w:rPr>
            </w:pPr>
            <w:r>
              <w:rPr>
                <w:rFonts w:hint="default" w:ascii="Times New Roman" w:hAnsi="Times New Roman" w:eastAsia="Calibri" w:cs="Times New Roman"/>
                <w:bCs/>
                <w:color w:val="auto"/>
                <w:sz w:val="28"/>
                <w:szCs w:val="28"/>
              </w:rPr>
              <w:t>ĐẢNG BỘ TỈNH LÀO CAI</w:t>
            </w:r>
          </w:p>
          <w:p w14:paraId="1781390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Calibri" w:cs="Times New Roman"/>
                <w:b/>
                <w:bCs/>
                <w:color w:val="auto"/>
                <w:sz w:val="28"/>
                <w:szCs w:val="28"/>
              </w:rPr>
            </w:pPr>
            <w:r>
              <w:rPr>
                <w:rFonts w:hint="default" w:ascii="Times New Roman" w:hAnsi="Times New Roman" w:eastAsia="Calibri" w:cs="Times New Roman"/>
                <w:b/>
                <w:bCs/>
                <w:color w:val="auto"/>
                <w:sz w:val="28"/>
                <w:szCs w:val="28"/>
              </w:rPr>
              <w:t>ĐẢNG ỦY XÃ LÙNG PHÌNH</w:t>
            </w:r>
          </w:p>
          <w:p w14:paraId="5376999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Calibri" w:cs="Times New Roman"/>
                <w:b/>
                <w:bCs/>
                <w:color w:val="auto"/>
                <w:sz w:val="28"/>
                <w:szCs w:val="28"/>
              </w:rPr>
            </w:pPr>
            <w:r>
              <w:rPr>
                <w:rFonts w:hint="default" w:ascii="Times New Roman" w:hAnsi="Times New Roman" w:eastAsia="Calibri" w:cs="Times New Roman"/>
                <w:b/>
                <w:bCs/>
                <w:color w:val="auto"/>
                <w:sz w:val="28"/>
                <w:szCs w:val="28"/>
              </w:rPr>
              <w:t>*</w:t>
            </w:r>
          </w:p>
          <w:p w14:paraId="07EFF97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Calibri" w:cs="Times New Roman"/>
                <w:b/>
                <w:bCs/>
                <w:color w:val="auto"/>
                <w:sz w:val="28"/>
                <w:szCs w:val="28"/>
              </w:rPr>
            </w:pPr>
            <w:r>
              <w:rPr>
                <w:rFonts w:hint="default" w:ascii="Times New Roman" w:hAnsi="Times New Roman" w:eastAsia="Calibri" w:cs="Times New Roman"/>
                <w:color w:val="auto"/>
                <w:sz w:val="28"/>
                <w:szCs w:val="28"/>
              </w:rPr>
              <w:t>Số:          -BC/ĐU</w:t>
            </w:r>
          </w:p>
        </w:tc>
        <w:tc>
          <w:tcPr>
            <w:tcW w:w="5249" w:type="dxa"/>
          </w:tcPr>
          <w:p w14:paraId="1C425DD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Calibri" w:cs="Times New Roman"/>
                <w:b/>
                <w:i/>
                <w:iCs/>
                <w:color w:val="auto"/>
                <w:sz w:val="30"/>
                <w:szCs w:val="30"/>
              </w:rPr>
            </w:pPr>
            <w:r>
              <w:rPr>
                <w:rFonts w:hint="default" w:ascii="Times New Roman" w:hAnsi="Times New Roman" w:eastAsia="Calibri" w:cs="Times New Roman"/>
                <w:b/>
                <w:bCs/>
                <w:color w:val="auto"/>
                <w:sz w:val="30"/>
                <w:szCs w:val="30"/>
              </w:rPr>
              <w:t>ĐẢNG CỘNG SẢN VIỆT NAM</w:t>
            </w:r>
          </w:p>
          <w:p w14:paraId="3916D48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Calibri" w:cs="Times New Roman"/>
                <w:b/>
                <w:i/>
                <w:iCs/>
                <w:color w:val="auto"/>
                <w:sz w:val="28"/>
                <w:szCs w:val="28"/>
              </w:rPr>
            </w:pPr>
            <w:r>
              <w:rPr>
                <w:rFonts w:hint="default" w:ascii="Times New Roman" w:hAnsi="Times New Roman" w:eastAsia="Calibri" w:cs="Times New Roman"/>
                <w:b/>
                <w:i/>
                <w:iCs/>
                <w:color w:val="auto"/>
                <w:sz w:val="28"/>
                <w:szCs w:val="28"/>
              </w:rPr>
              <mc:AlternateContent>
                <mc:Choice Requires="wps">
                  <w:drawing>
                    <wp:anchor distT="5715" distB="5080" distL="5715" distR="5080" simplePos="0" relativeHeight="251660288" behindDoc="0" locked="0" layoutInCell="1" allowOverlap="1">
                      <wp:simplePos x="0" y="0"/>
                      <wp:positionH relativeFrom="column">
                        <wp:posOffset>309245</wp:posOffset>
                      </wp:positionH>
                      <wp:positionV relativeFrom="paragraph">
                        <wp:posOffset>16510</wp:posOffset>
                      </wp:positionV>
                      <wp:extent cx="2587625" cy="635"/>
                      <wp:effectExtent l="0" t="0" r="22225" b="37465"/>
                      <wp:wrapNone/>
                      <wp:docPr id="1" name="AutoShape 2"/>
                      <wp:cNvGraphicFramePr/>
                      <a:graphic xmlns:a="http://schemas.openxmlformats.org/drawingml/2006/main">
                        <a:graphicData uri="http://schemas.microsoft.com/office/word/2010/wordprocessingShape">
                          <wps:wsp>
                            <wps:cNvCnPr/>
                            <wps:spPr>
                              <a:xfrm>
                                <a:off x="0" y="0"/>
                                <a:ext cx="2587625" cy="635"/>
                              </a:xfrm>
                              <a:prstGeom prst="straightConnector1">
                                <a:avLst/>
                              </a:prstGeom>
                              <a:noFill/>
                              <a:ln w="9525">
                                <a:solidFill>
                                  <a:srgbClr val="000000"/>
                                </a:solidFill>
                                <a:round/>
                              </a:ln>
                              <a:effectLst/>
                            </wps:spPr>
                            <wps:bodyPr/>
                          </wps:wsp>
                        </a:graphicData>
                      </a:graphic>
                    </wp:anchor>
                  </w:drawing>
                </mc:Choice>
                <mc:Fallback>
                  <w:pict>
                    <v:shape id="AutoShape 2" o:spid="_x0000_s1026" o:spt="32" type="#_x0000_t32" style="position:absolute;left:0pt;margin-left:24.35pt;margin-top:1.3pt;height:0.05pt;width:203.75pt;z-index:251660288;mso-width-relative:page;mso-height-relative:page;" filled="f" stroked="t" coordsize="21600,21600" o:gfxdata="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uFIWnVAAAABgEAAA8AAAAAAAAAAQAgAAAAIgAAAGRycy9kb3ducmV2LnhtbFBLAQIUABQAAAAI&#10;AIdO4kAQzMZhtwEAAIIDAAAOAAAAAAAAAAEAIAAAACQBAABkcnMvZTJvRG9jLnhtbFBLBQYAAAAA&#10;BgAGAFkBAABNBQAAAAA=&#10;">
                      <v:fill on="f" focussize="0,0"/>
                      <v:stroke color="#000000" joinstyle="round"/>
                      <v:imagedata o:title=""/>
                      <o:lock v:ext="edit" aspectratio="f"/>
                    </v:shape>
                  </w:pict>
                </mc:Fallback>
              </mc:AlternateContent>
            </w:r>
          </w:p>
          <w:p w14:paraId="3BE312B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Calibri" w:cs="Times New Roman"/>
                <w:b/>
                <w:i/>
                <w:iCs/>
                <w:color w:val="auto"/>
                <w:sz w:val="28"/>
                <w:szCs w:val="28"/>
              </w:rPr>
            </w:pPr>
            <w:r>
              <w:rPr>
                <w:rFonts w:hint="default" w:ascii="Times New Roman" w:hAnsi="Times New Roman" w:eastAsia="Calibri" w:cs="Times New Roman"/>
                <w:i/>
                <w:iCs/>
                <w:color w:val="auto"/>
                <w:sz w:val="28"/>
                <w:szCs w:val="28"/>
              </w:rPr>
              <w:t>Lùng Phình, ngày     tháng 8 năm 2026</w:t>
            </w:r>
          </w:p>
          <w:p w14:paraId="11518C4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Calibri" w:cs="Times New Roman"/>
                <w:color w:val="auto"/>
                <w:sz w:val="28"/>
                <w:szCs w:val="28"/>
              </w:rPr>
            </w:pPr>
            <w:r>
              <w:rPr>
                <w:rFonts w:hint="default" w:ascii="Times New Roman" w:hAnsi="Times New Roman" w:eastAsia="Calibri" w:cs="Times New Roman"/>
                <w:b/>
                <w:i/>
                <w:iCs/>
                <w:color w:val="auto"/>
                <w:sz w:val="28"/>
                <w:szCs w:val="28"/>
              </w:rPr>
              <w:t xml:space="preserve">           </w:t>
            </w:r>
          </w:p>
        </w:tc>
      </w:tr>
    </w:tbl>
    <w:p w14:paraId="79CDB702">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color w:val="auto"/>
          <w:sz w:val="28"/>
          <w:szCs w:val="28"/>
        </w:rPr>
      </w:pPr>
    </w:p>
    <w:p w14:paraId="3292F4E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 xml:space="preserve">BÁO CÁO </w:t>
      </w:r>
    </w:p>
    <w:p w14:paraId="2AB7C50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Kết quả thực hiện nhiệm vụ tháng 8 và triển khai các nhiệm vụ trọng tâm trong tháng 9 năm 2026</w:t>
      </w:r>
    </w:p>
    <w:p w14:paraId="6D2EE24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color w:val="auto"/>
          <w:sz w:val="28"/>
          <w:szCs w:val="28"/>
        </w:rPr>
      </w:pPr>
      <w:r>
        <w:rPr>
          <w:rFonts w:hint="default" w:ascii="Times New Roman" w:hAnsi="Times New Roman" w:cs="Times New Roman"/>
          <w:bCs/>
          <w:color w:val="auto"/>
          <w:sz w:val="28"/>
          <w:szCs w:val="28"/>
        </w:rPr>
        <w:t>-----</w:t>
      </w:r>
    </w:p>
    <w:p w14:paraId="604EF242">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I. CÔNG TÁC LÃNH ĐẠO, CHỈ ĐẠO CỦA ĐẢNG ỦY</w:t>
      </w:r>
    </w:p>
    <w:p w14:paraId="4FB0C75C">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 xml:space="preserve">1. Đánh giá khái quát công tác lãnh đạo, chỉ đạo trong tháng. </w:t>
      </w:r>
    </w:p>
    <w:p w14:paraId="0F93F4EF">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Trong tháng 8 năm 2026, Ban Thường vụ, Thường trực Đảng ủy xã tiếp tục phát huy vai trò hạt nhân lãn</w:t>
      </w:r>
      <w:bookmarkStart w:id="0" w:name="_GoBack"/>
      <w:bookmarkEnd w:id="0"/>
      <w:r>
        <w:rPr>
          <w:rFonts w:hint="default" w:ascii="Times New Roman" w:hAnsi="Times New Roman" w:cs="Times New Roman"/>
          <w:color w:val="auto"/>
          <w:sz w:val="28"/>
          <w:szCs w:val="28"/>
        </w:rPr>
        <w:t>h đạo, chỉ đạo toàn diện trên các lĩnh vực; tập trung quán triệt, triển khai thực hiện nghiêm túc các nghị quyết, chỉ thị, kết luận, văn bản chỉ đạo của Trung ương, Tỉnh ủy và cấp trên; bám sát Chương trình công tác năm 2026, Chương trình công tác tháng 8 và tình hình thực tiễn của địa phương để lãnh đạo, chỉ đạo thực hiện đồng bộ các nhiệm vụ chính trị. Công tác lãnh đạo, điều hành được thực hiện quyết liệt, trọng tâm, trọng điểm; thường xuyên kiểm tra, đôn đốc tiến độ thực hiện các nhiệm vụ; kịp thời chỉ đạo giải quyết những khó khăn, vướng mắc phát sinh. Công tác phối hợp giữa Đảng ủy với HĐND, UBND, Ủy ban MTTQ và các tổ chức chính trị - xã hội được tăng cường, góp phần thực hiện hiệu quả các nhiệm vụ phát triển kinh tế - xã hội, bảo đảm quốc phòng, an ninh, xây dựng Đảng và hệ thống chính trị.</w:t>
      </w:r>
    </w:p>
    <w:p w14:paraId="3A283C75">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2. Việc quán triệt, triển khai các nghị quyết, chỉ thị, kết luận, công văn của Trung ương, Tỉnh ủy</w:t>
      </w:r>
    </w:p>
    <w:p w14:paraId="762E9263">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Ban Thường vụ Đảng ủy đã kịp thời quán triệt, triển khai thực hiện các nghị quyết, chỉ thị, kết luận, công văn của Trung ương, Tỉnh ủy và các văn bản chỉ đạo của cấp trên đến các chi bộ trực thuộc, cán bộ, đảng viên; cụ thể hóa bằng các chương trình, kế hoạch, công văn và văn bản chỉ đạo phù hợp với điều kiện thực tế của địa phương. Chỉ đạo các cơ quan, đơn vị, chi bộ trực thuộc tổ chức triển khai thực hiện nghiêm các nhiệm vụ theo các kết luận, chỉ đạo của Tỉnh ủy; tập trung thực hiện các nhiệm vụ về sắp xếp tổ chức bộ máy, chuyển đổi số trong khối Đảng, cải cách hành chính, phòng, chống thiên tai, phòng chống lãng phí, thực hiện các nhiệm vụ phát triển kinh tế - xã hội, quốc phòng - an ninh và xây dựng hệ thống chính trị. Việc quán triệt, triển khai được thực hiện thông qua các hội nghị của Đảng ủy, sinh hoạt chi bộ và các cuộc họp của hệ thống chính trị, bảo đảm nội dung được truyền đạt đầy đủ, sát với tình hình thực tế của địa phương.</w:t>
      </w:r>
    </w:p>
    <w:p w14:paraId="178D4EEC">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Trong tháng Đảng ủy đã chỉ đạo ban hành trên </w:t>
      </w:r>
      <w:r>
        <w:rPr>
          <w:rFonts w:hint="default" w:ascii="Times New Roman" w:hAnsi="Times New Roman" w:cs="Times New Roman"/>
          <w:color w:val="auto"/>
          <w:sz w:val="28"/>
          <w:szCs w:val="28"/>
          <w:lang w:val="en-US"/>
        </w:rPr>
        <w:t>176</w:t>
      </w:r>
      <w:r>
        <w:rPr>
          <w:rFonts w:hint="default" w:ascii="Times New Roman" w:hAnsi="Times New Roman" w:cs="Times New Roman"/>
          <w:color w:val="auto"/>
          <w:sz w:val="28"/>
          <w:szCs w:val="28"/>
        </w:rPr>
        <w:t xml:space="preserve"> văn bản chỉ đạo, điều hành trên các lĩnh vực công tác (tổ chức, tuyên vận, tuyên giáo, kiểm tra, kinh tế - xã hội, quốc phòng - an ninh).</w:t>
      </w:r>
    </w:p>
    <w:p w14:paraId="231973A6">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3. Công tác lãnh đạo thực hiện Chương trình công tác tháng; giao ban, kiểm tra, đôn đốc thực hiện các nhiệm vụ trọng tâm</w:t>
      </w:r>
    </w:p>
    <w:p w14:paraId="36EC1E20">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Ban Thường vụ, Thường trực Đảng ủy duy trì nghiêm chế độ giao ban, hội nghị Thường trực, Ban Thường vụ, Ban Chấp hành theo quy chế làm việc; tập trung cho ý kiến đối với các nội dung thuộc thẩm quyền; kịp thời ban hành các kết luận để lãnh đạo, chỉ đạo thực hiện. Thường xuyên theo dõi tiến độ thực hiện các nhiệm vụ theo Chương trình công tác tháng; phân công rõ trách nhiệm đối với từng đồng chí Thường trực, Ủy viên Ban Thường vụ, Ban Chấp hành phụ trách lĩnh vực, địa bàn; tăng cường kiểm tra, đôn đốc việc thực hiện các nhiệm vụ trọng tâm, nhất là sản xuất vụ mùa, giải ngân vốn đầu tư công, quản lý đất đai, xây dựng nông thôn mới, chuyển đổi số, công tác xây dựng Đảng, tiếp công dân, giải quyết đơn thư và bảo đảm quốc phòng, an ninh. </w:t>
      </w:r>
      <w:r>
        <w:rPr>
          <w:rStyle w:val="20"/>
          <w:rFonts w:hint="default" w:ascii="Times New Roman" w:hAnsi="Times New Roman" w:cs="Times New Roman"/>
          <w:color w:val="auto"/>
          <w:sz w:val="28"/>
          <w:szCs w:val="28"/>
          <w:u w:val="single"/>
        </w:rPr>
        <w:footnoteReference w:id="0"/>
      </w:r>
    </w:p>
    <w:p w14:paraId="1B4C7151">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4. Công tác phối hợp giữa Đảng ủy với HĐND, UBND, MTTQ và các tổ chức chính trị - xã hội</w:t>
      </w:r>
    </w:p>
    <w:p w14:paraId="4F89A925">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Đảng ủy tiếp tục lãnh đạo, chỉ đạo thực hiện nghiêm Quy chế phối hợp giữa Đảng ủy với HĐND, UBND, Ủy ban MTTQ và các tổ chức chính trị - xã hội; duy trì nền nếp phối hợp, phát huy vai trò, trách nhiệm của từng cơ quan, đơn vị trong thực hiện nhiệm vụ chính trị của địa phương.</w:t>
      </w:r>
    </w:p>
    <w:p w14:paraId="6F2ACC87">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Chỉ đạo HĐND thực hiện tốt chức năng giám sát, xem xét, quyết định các vấn đề thuộc thẩm quyền; UBND tập trung chỉ đạo, điều hành phát triển kinh tế - xã hội, bảo đảm quốc phòng - an ninh, tăng cường quản lý nhà nước trên các lĩnh vực. Ủy ban MTTQ và các tổ chức chính trị - xã hội đẩy mạnh tuyên truyền, vận động đoàn viên, hội viên và Nhân dân chấp hành chủ trương của Đảng, chính sách, pháp luật của Nhà nước; tích cực tham gia xây dựng Đảng, xây dựng chính quyền, giám sát, phản biện xã hội, thực hiện các phong trào thi đua, các cuộc vận động, góp phần củng cố khối đại đoàn kết toàn dân và thực hiện thắng lợi nhiệm vụ chính trị của địa phương.</w:t>
      </w:r>
    </w:p>
    <w:p w14:paraId="33AC9629">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5. Những nội dung nổi bật trong chỉ đạo, xử lý các nhiệm vụ phát sinh</w:t>
      </w:r>
    </w:p>
    <w:p w14:paraId="7F097011">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Trong tháng, Ban Thường vụ, Thường trực Đảng ủy đã tập trung lãnh đạo, chỉ đạo xử lý kịp thời các nhiệm vụ phát sinh về công tác cán bộ, tổ chức xây dựng Đảng, kiểm tra, giám sát; sắp xếp, bổ nhiệm lại cán bộ quản lý giáo dục; điều chỉnh quy hoạch, triển khai các dự án đầu tư công; tinh giản biên chế; xác minh tài sản, thu nhập. Đồng thời, chỉ đạo thực hiện các nhiệm vụ theo Thông báo số 381/TB-VPCP; cho chủ trương sắp xếp các cơ sở giáo dục giai đoạn 2026-2030 và kịp thời chỉ đạo xử lý tình huống cháy rừng có nguy cơ cháy lan trên diện rộng, bảo đảm chủ động, thống nhất trong lãnh đạo, chỉ đạo và tổ chức thực hiện. đồng thời chỉ đạo triển khai hiệu quả các nhiệm vụ trọng tâm theo chỉ đạo của Trung ương, Tỉnh ủy và Ban Thường vụ Đảng ủy xã, bảo đảm tiến độ, chất lượng và yêu cầu đề ra.</w:t>
      </w:r>
    </w:p>
    <w:p w14:paraId="0F6B8672">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II. KẾT QUẢ THỰC HIỆN NHIỆM VỤ THÁNG 8</w:t>
      </w:r>
    </w:p>
    <w:p w14:paraId="5D5386B4">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1. Phát triển kinh tế</w:t>
      </w:r>
    </w:p>
    <w:p w14:paraId="68638799">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(1) Sản xuất nông, lâm nghiệp; phòng, chống thiên tai</w:t>
      </w:r>
    </w:p>
    <w:p w14:paraId="50BCD1F1">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Ban Thường vụ Đảng ủy tập trung lãnh đạo, chỉ đạo UBND xã và các cơ quan chuyên môn hướng dẫn Nhân dân đẩy nhanh tiến độ sản xuất vụ mùa năm 2026; chủ động cơ cấu cây trồng phù hợp với điều kiện thời tiết, bảo đảm khung thời vụ. </w:t>
      </w:r>
      <w:r>
        <w:rPr>
          <w:rStyle w:val="20"/>
          <w:rFonts w:hint="default" w:ascii="Times New Roman" w:hAnsi="Times New Roman" w:cs="Times New Roman"/>
          <w:color w:val="auto"/>
          <w:sz w:val="28"/>
          <w:szCs w:val="28"/>
          <w:u w:val="single"/>
        </w:rPr>
        <w:footnoteReference w:id="1"/>
      </w:r>
    </w:p>
    <w:p w14:paraId="2A5EADE6">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 xml:space="preserve"> (2) Đất đai, xây dựng, tài nguyên và môi trường</w:t>
      </w:r>
    </w:p>
    <w:p w14:paraId="768B5773">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Đảng ủy lãnh đạo UBND xã tăng cường công tác quản lý nhà nước về đất đai, tài nguyên và môi trường; thực hiện kiểm tra, rà soát việc quản lý, sử dụng đất theo quy định; kịp thời phát hiện, xử lý các trường hợp vi phạm về đất đai, trật tự xây dựng; tiếp tục phối hợp thực hiện công tác đo đạc, chỉnh lý hồ sơ địa chính, cấp giấy chứng nhận quyền sử dụng đất theo quy định.</w:t>
      </w:r>
    </w:p>
    <w:p w14:paraId="0D4220CE">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Tiếp tục triển khai Chiến dịch 120 ngày đo đạc, lập hồ sơ địa chính và hoàn thiện cơ sở dữ liệu đất đai. Đã rà soát, chuẩn hóa 538/538 thửa, đạt 100% đối với nhóm dữ liệu cần làm sạch; đối với nhóm thửa đất cần bổ sung thông tin, đã rà soát 44.571/47.626 thửa, đạt 93,5%, còn 3.055 thửa tiếp tục thực hiện. Đồng thời, đã hoàn thành rà soát 47 trường hợp xây dựng nhà trên đất nông nghiệp, trong đó đã đo đạc 23 hộ, trả kết quả 10 hộ để hoàn thiện hồ sơ cấp giấy chứng nhận. </w:t>
      </w:r>
      <w:r>
        <w:rPr>
          <w:rStyle w:val="20"/>
          <w:rFonts w:hint="default" w:ascii="Times New Roman" w:hAnsi="Times New Roman" w:cs="Times New Roman"/>
          <w:color w:val="auto"/>
          <w:sz w:val="28"/>
          <w:szCs w:val="28"/>
          <w:u w:val="single"/>
        </w:rPr>
        <w:footnoteReference w:id="2"/>
      </w:r>
      <w:r>
        <w:rPr>
          <w:rFonts w:hint="default" w:ascii="Times New Roman" w:hAnsi="Times New Roman" w:cs="Times New Roman"/>
          <w:color w:val="auto"/>
          <w:sz w:val="28"/>
          <w:szCs w:val="28"/>
        </w:rPr>
        <w:t xml:space="preserve">  </w:t>
      </w:r>
    </w:p>
    <w:p w14:paraId="50ADDD9E">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 xml:space="preserve"> (3) Tài chính - ngân sách; đầu tư xây dựng</w:t>
      </w:r>
    </w:p>
    <w:p w14:paraId="04C786BC">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i/>
          <w:color w:val="auto"/>
          <w:sz w:val="28"/>
          <w:szCs w:val="28"/>
        </w:rPr>
        <w:t>a) Thu, chi ngân sách xã</w:t>
      </w:r>
      <w:r>
        <w:rPr>
          <w:rFonts w:hint="default" w:ascii="Times New Roman" w:hAnsi="Times New Roman" w:cs="Times New Roman"/>
          <w:color w:val="auto"/>
          <w:sz w:val="28"/>
          <w:szCs w:val="28"/>
        </w:rPr>
        <w:t>: Tiếp tục tham mưu UBND xã chỉ đạo các cơ quan, đơn vị triển khai thực hiện nhiệm vụ thu, chi ngân sách nhà nước trên địa bàn bảo đảm tiến độ, đúng quy định. Kết quả thực hiện:</w:t>
      </w:r>
    </w:p>
    <w:p w14:paraId="1557EF8D">
      <w:pPr>
        <w:pStyle w:val="75"/>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Tổng thu ngân sách trên địa bàn trong tháng đạt 525 triệu đồng, lũy kế 2.592/1.095 triệu đồng, đạt 236,71% kế hoạch giao. Tổng thu ngân sách địa phương lũy kế 246.554/166.776 triệu đồng, đạt 147,84% kế hoạch; tổng chi ngân sách địa phương: 2.965 triệu đồng, lũy kế 110.292/166.776 triệu đồng, đạt 66,13% kế hoạch giao.</w:t>
      </w:r>
    </w:p>
    <w:p w14:paraId="698DB782">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b) Thanh toán vốn đầu tư xây dựng cơ bản:</w:t>
      </w:r>
    </w:p>
    <w:p w14:paraId="1E802B6F">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rPr>
      </w:pPr>
      <w:r>
        <w:rPr>
          <w:rFonts w:hint="default" w:ascii="Times New Roman" w:hAnsi="Times New Roman" w:cs="Times New Roman"/>
          <w:color w:val="auto"/>
        </w:rPr>
        <w:t>- Tổng kế hoạch vốn tỉnh và xã giao năm 2026 đến thời điểm báo cáo là 46.802 triệu đồng, trong đó vốn đã phân bổ 30.634 triệu đồng, vốn chưa phân bổ 16.168 triệu đồng theo Quyết định số 1968/QĐ-UBND ngày 04/6/2026. Số vốn đã được UBND xã phân bổ 30.634 triệu đồng, gồm vốn chuyển nguồn năm 2025 là 8.521 triệu đồng và vốn giao năm 2026 là 22.113 triệu đồng. Trong tháng giải ngân 74,4 triệu đồng, lũy kế 14.577/30.634 triệu đồng, đạt 47,6% kế hoạch.</w:t>
      </w:r>
    </w:p>
    <w:p w14:paraId="45D51284">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Lĩnh vực xây dựng:</w:t>
      </w:r>
    </w:p>
    <w:p w14:paraId="001ECABC">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Nhóm các công trình đã hoàn thành và đạt tỷ lệ giải ngân cao (Từ 70% – 100%): Toàn xã có 09 công trình đạt tiến độ giải ngân rất tích cực. Trong đó, có 06 công trình đã giải ngân hoàn thành 100% kế hoạch vốn giao. Các công trình còn lại cơ bản đáp ứng đúng tiến độ và kế hoạch đề ra. </w:t>
      </w:r>
      <w:r>
        <w:rPr>
          <w:rStyle w:val="20"/>
          <w:rFonts w:hint="default" w:ascii="Times New Roman" w:hAnsi="Times New Roman" w:cs="Times New Roman"/>
          <w:color w:val="auto"/>
          <w:sz w:val="28"/>
          <w:szCs w:val="28"/>
          <w:u w:val="single"/>
        </w:rPr>
        <w:footnoteReference w:id="3"/>
      </w:r>
    </w:p>
    <w:p w14:paraId="2F437FFD">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Nhóm các công trình đang triển khai thủ tục chuẩn bị đầu tư, xét duyệt hồ sơ: Hiện có 02 công trình hạ tầng giao thông và giáo dục đang trong giai đoạn hoàn thiện các thủ tục pháp lý. Cả hai công trình đều đã giải ngân phần lớn nguồn vốn được giao. </w:t>
      </w:r>
      <w:r>
        <w:rPr>
          <w:rStyle w:val="20"/>
          <w:rFonts w:hint="default" w:ascii="Times New Roman" w:hAnsi="Times New Roman" w:cs="Times New Roman"/>
          <w:color w:val="auto"/>
          <w:sz w:val="28"/>
          <w:szCs w:val="28"/>
          <w:u w:val="single"/>
        </w:rPr>
        <w:footnoteReference w:id="4"/>
      </w:r>
    </w:p>
    <w:p w14:paraId="35BC17C7">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Nhóm các công trình vướng mắc, tiến độ chậm hoặc không thực hiện: Nhóm này gồm 05 công trình. Trong đó, có 02 công trình thuộc diện dừng thực hiện hoặc phải thu hồi vốn do thay đổi phương án; 03 công trình còn lại đang gặp vướng mắc về mặt thi công, chưa có khối lượng nghiệm thu hoặc đang chờ thủ tục chuyển nguồn nên tỷ lệ giải ngân hiện tại vẫn ở mức 0%. </w:t>
      </w:r>
      <w:r>
        <w:rPr>
          <w:rStyle w:val="20"/>
          <w:rFonts w:hint="default" w:ascii="Times New Roman" w:hAnsi="Times New Roman" w:cs="Times New Roman"/>
          <w:color w:val="auto"/>
          <w:sz w:val="28"/>
          <w:szCs w:val="28"/>
          <w:u w:val="single"/>
        </w:rPr>
        <w:footnoteReference w:id="5"/>
      </w:r>
    </w:p>
    <w:p w14:paraId="0DB01B1D">
      <w:pPr>
        <w:keepNext w:val="0"/>
        <w:keepLines w:val="0"/>
        <w:pageBreakBefore w:val="0"/>
        <w:kinsoku/>
        <w:wordWrap/>
        <w:overflowPunct/>
        <w:topLinePunct w:val="0"/>
        <w:autoSpaceDE/>
        <w:autoSpaceDN/>
        <w:bidi w:val="0"/>
        <w:adjustRightInd/>
        <w:snapToGrid/>
        <w:ind w:firstLine="720"/>
        <w:jc w:val="center"/>
        <w:textAlignment w:val="auto"/>
        <w:rPr>
          <w:rFonts w:hint="default" w:ascii="Times New Roman" w:hAnsi="Times New Roman" w:cs="Times New Roman"/>
          <w:i/>
          <w:color w:val="auto"/>
          <w:sz w:val="28"/>
          <w:szCs w:val="28"/>
        </w:rPr>
      </w:pPr>
      <w:r>
        <w:rPr>
          <w:rFonts w:hint="default" w:ascii="Times New Roman" w:hAnsi="Times New Roman" w:cs="Times New Roman"/>
          <w:i/>
          <w:color w:val="auto"/>
          <w:sz w:val="28"/>
          <w:szCs w:val="28"/>
        </w:rPr>
        <w:t xml:space="preserve">(Có phụ biểu kết quả thực hiện các chỉ tiêu phát triển kinh tế - xã hội </w:t>
      </w:r>
    </w:p>
    <w:p w14:paraId="7D43EC7B">
      <w:pPr>
        <w:keepNext w:val="0"/>
        <w:keepLines w:val="0"/>
        <w:pageBreakBefore w:val="0"/>
        <w:kinsoku/>
        <w:wordWrap/>
        <w:overflowPunct/>
        <w:topLinePunct w:val="0"/>
        <w:autoSpaceDE/>
        <w:autoSpaceDN/>
        <w:bidi w:val="0"/>
        <w:adjustRightInd/>
        <w:snapToGrid/>
        <w:ind w:firstLine="720"/>
        <w:jc w:val="center"/>
        <w:textAlignment w:val="auto"/>
        <w:rPr>
          <w:rFonts w:hint="default" w:ascii="Times New Roman" w:hAnsi="Times New Roman" w:cs="Times New Roman"/>
          <w:color w:val="auto"/>
          <w:sz w:val="28"/>
          <w:szCs w:val="28"/>
        </w:rPr>
      </w:pPr>
      <w:r>
        <w:rPr>
          <w:rFonts w:hint="default" w:ascii="Times New Roman" w:hAnsi="Times New Roman" w:cs="Times New Roman"/>
          <w:i/>
          <w:color w:val="auto"/>
          <w:sz w:val="28"/>
          <w:szCs w:val="28"/>
        </w:rPr>
        <w:t>kèm theo)</w:t>
      </w:r>
    </w:p>
    <w:p w14:paraId="31D42857">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(4) Công thương, thương mại, dịch vụ, du lịch</w:t>
      </w:r>
    </w:p>
    <w:p w14:paraId="331C5C9C">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Hoạt động thương mại, dịch vụ trên địa bàn cơ bản ổn định; nguồn cung hàng hóa thiết yếu được bảo đảm, đáp ứng nhu cầu sản xuất và tiêu dùng của Nhân dân; thường xuyên kiểm tra việc chấp hành các quy định về giá, an toàn thực phẩm và phòng, chống gian lận thương mại. </w:t>
      </w:r>
      <w:r>
        <w:rPr>
          <w:rStyle w:val="20"/>
          <w:rFonts w:hint="default" w:ascii="Times New Roman" w:hAnsi="Times New Roman" w:cs="Times New Roman"/>
          <w:color w:val="auto"/>
          <w:sz w:val="28"/>
          <w:szCs w:val="28"/>
          <w:u w:val="single"/>
        </w:rPr>
        <w:footnoteReference w:id="6"/>
      </w:r>
    </w:p>
    <w:p w14:paraId="1EC40D18">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t>Đảng ủy tập trung lãnh đạo, chỉ đạo UBND xã triển khai các giải pháp phát triển thương mại, dịch vụ gắn với khai thác tiềm năng, lợi thế của địa phương; tạo điều kiện thuận lợi cho các hộ kinh doanh duy trì, mở rộng hoạt động sản xuất, kinh doanh, đáp ứng nhu cầu tiêu dùng của Nhân dân. Hoạt động thương mại trên địa bàn diễn ra ổn định, nguồn cung các mặt hàng thiết yếu được bảo đảm, không xảy ra tình trạng khan hiếm hàng hóa.</w:t>
      </w:r>
    </w:p>
    <w:p w14:paraId="623718F9">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Công tác quản lý thị trường được tăng cường; thường xuyên theo dõi diễn biến giá cả các mặt hàng thiết yếu, kịp thời nắm bắt tình hình cung cầu hàng hóa, không để xảy ra tình trạng đầu cơ, găm hàng, tăng giá bất hợp lý; phối hợp kiểm tra việc chấp hành các quy định về kinh doanh thương mại, an toàn thực phẩm, góp phần ổn định thị trường trên địa bàn.</w:t>
      </w:r>
    </w:p>
    <w:p w14:paraId="43A47842">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Hạ tầng điện và viễn thông tiếp tục được duy trì hoạt động ổn định, đáp ứng nhu cầu sản xuất, kinh doanh và sinh hoạt của Nhân dân; các đơn vị cung ứng dịch vụ bảo đảm cung cấp điện an toàn, liên tục, hệ thống thông tin liên lạc thông suốt, phục vụ hiệu quả công tác lãnh đạo, chỉ đạo, điều hành và triển khai chuyển đổi số trên địa bàn xã. </w:t>
      </w:r>
      <w:r>
        <w:rPr>
          <w:rStyle w:val="20"/>
          <w:rFonts w:hint="default" w:ascii="Times New Roman" w:hAnsi="Times New Roman" w:cs="Times New Roman"/>
          <w:color w:val="auto"/>
          <w:sz w:val="28"/>
          <w:szCs w:val="28"/>
          <w:u w:val="single"/>
        </w:rPr>
        <w:footnoteReference w:id="7"/>
      </w:r>
    </w:p>
    <w:p w14:paraId="7752EB4F">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2. Văn hóa - xã hội</w:t>
      </w:r>
    </w:p>
    <w:p w14:paraId="431A2019">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(1) Giáo dục và đào tạo</w:t>
      </w:r>
    </w:p>
    <w:p w14:paraId="27F340CF">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Công tác giáo dục và đào tạo tiếp tục được quan tâm lãnh đạo, chỉ đạo; chất lượng giáo dục và công tác phổ cập giáo dục được duy trì. Tập trung chuẩn bị các điều kiện phục vụ năm học 2026 - 2027; phê duyệt danh sách học sinh tuyển sinh các lớp đầu cấp; rà soát quy mô trường, lớp, học sinh, đội ngũ cán bộ quản lý, giáo viên, nhân viên và cơ sở vật chất.</w:t>
      </w:r>
    </w:p>
    <w:p w14:paraId="316F7324">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Tổ chức tổng kết năm học 2025 - 2026, triển khai phương hướng, nhiệm vụ năm học 2026 - 2027; rà soát, kiện toàn đội ngũ cán bộ quản lý, giáo viên cốt cán; cập nhật cơ sở dữ liệu ngành Giáo dục và Đào tạo, thực hiện chế độ thông tin, báo cáo theo quy định. Tiếp tục rà soát, bổ sung cơ sở vật chất, thiết bị dạy học và các điều kiện phục vụ khai giảng, tổ chức thực hiện nhiệm vụ năm học mới; triển khai các nội dung về bình đẳng giới trong ngành Giáo dục và Đào tạo.Tỷ lệ trường học đạt chuẩn quốc gia đạt 77,8%.</w:t>
      </w:r>
    </w:p>
    <w:p w14:paraId="2172961C">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 xml:space="preserve"> (2) Y tế, chăm sóc sức khỏe Nhân dân</w:t>
      </w:r>
    </w:p>
    <w:p w14:paraId="43F570E9">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Đảng ủy lãnh đạo, chỉ đạo thực hiện tốt công tác chăm sóc, bảo vệ sức khỏe Nhân dân; duy trì công tác khám, chữa bệnh, chăm sóc sức khỏe ban đầu tại Trạm Y tế xã; tăng cường công tác phòng, chống dịch bệnh, giám sát chặt chẽ tình hình dịch tễ, không để phát sinh các ổ dịch lớn trên địa bàn. </w:t>
      </w:r>
      <w:r>
        <w:rPr>
          <w:rStyle w:val="20"/>
          <w:rFonts w:hint="default" w:ascii="Times New Roman" w:hAnsi="Times New Roman" w:cs="Times New Roman"/>
          <w:color w:val="auto"/>
          <w:sz w:val="28"/>
          <w:szCs w:val="28"/>
          <w:u w:val="single"/>
        </w:rPr>
        <w:footnoteReference w:id="8"/>
      </w:r>
    </w:p>
    <w:p w14:paraId="319A8EDC">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 xml:space="preserve"> (3) Lao động, việc làm, giảm nghèo</w:t>
      </w:r>
    </w:p>
    <w:p w14:paraId="1DFC34DA">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Đảng ủy tập trung lãnh đạo thực hiện các chương trình, chính sách về lao động, việc làm và giảm nghèo bền vững; triển khai các chính sách hỗ trợ đào tạo nghề, tạo việc làm, xuất khẩu lao động và các chương trình phát triển sinh kế cho người dân. Tỷ lệ lao động đã qua đào tạo đạt 99,26%.</w:t>
      </w:r>
    </w:p>
    <w:p w14:paraId="300FAE1B">
      <w:pPr>
        <w:pStyle w:val="75"/>
        <w:keepNext w:val="0"/>
        <w:keepLines w:val="0"/>
        <w:pageBreakBefore w:val="0"/>
        <w:kinsoku/>
        <w:wordWrap/>
        <w:overflowPunct/>
        <w:topLinePunct w:val="0"/>
        <w:autoSpaceDE/>
        <w:autoSpaceDN/>
        <w:bidi w:val="0"/>
        <w:adjustRightInd/>
        <w:snapToGrid/>
        <w:spacing w:before="0" w:beforeAutospacing="0" w:after="0" w:afterAutospacing="0"/>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Tỷ lệ giảm nghèo trong năm theo chuẩn nghèo đa chiều giai đoạn 2022-2025 là 7,15%; số hộ nghèo còn lại 410 hộ. Chỉ tiêu giảm nghèo sẽ được đánh giá, xác định chính thức vào cuối năm 2026 sau khi hoàn thành điều tra, rà soát hộ nghèo, hộ cận nghèo theo quy định.</w:t>
      </w:r>
    </w:p>
    <w:p w14:paraId="69E920AA">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p>
    <w:p w14:paraId="6C3F601F">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 xml:space="preserve"> (4) Chính sách xã hội, người có công</w:t>
      </w:r>
    </w:p>
    <w:p w14:paraId="58DD629C">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Công tác chăm lo, thực hiện chính sách đối với người có công với cách mạng được quan tâm chỉ đạo, bảo đảm kịp thời, đúng đối tượng, đúng quy định. Tiếp tục rà soát, cập nhật danh sách người có công, thương binh, thân nhân liệt sĩ và các đối tượng chính sách trên địa bàn; thực hiện đầy đủ các chế độ, chính sách theo quy định. Rà soát danh sách Bà mẹ Việt Nam Anh hùng, thương binh có tỷ lệ tổn thương cơ thể từ 81% trở lên, con liệt sĩ chưa đủ 18 tuổi và các đối tượng chính sách khác, góp phần bảo đảm quyền lợi, chế độ chính sách được thực hiện đầy đủ, kịp thời.</w:t>
      </w:r>
    </w:p>
    <w:p w14:paraId="4E6921C7">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 xml:space="preserve"> (5) Văn hóa, thông tin, thể thao</w:t>
      </w:r>
    </w:p>
    <w:p w14:paraId="6F9FBFE8">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Công tác quản lý, bảo tồn và phát huy các giá trị văn hóa, lịch sử trên địa bàn được quan tâm. Đã thành lập Ban Quản lý Di tích xã Lùng Phình; tiếp tục triển khai các nhiệm vụ quản lý, bảo tồn, phát huy giá trị di tích và thiết chế văn hóa, gắn với phát triển du lịch và nâng cao đời sống văn hóa tinh thần của Nhân dân.</w:t>
      </w:r>
    </w:p>
    <w:p w14:paraId="1F8EA629">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Hoạt động du lịch tiếp tục duy trì đà tăng trưởng, góp phần thúc đẩy phát triển kinh tế - xã hội của địa phương. </w:t>
      </w:r>
      <w:r>
        <w:rPr>
          <w:rStyle w:val="20"/>
          <w:rFonts w:hint="default" w:ascii="Times New Roman" w:hAnsi="Times New Roman" w:cs="Times New Roman"/>
          <w:color w:val="auto"/>
          <w:sz w:val="28"/>
          <w:szCs w:val="28"/>
          <w:u w:val="single"/>
        </w:rPr>
        <w:footnoteReference w:id="9"/>
      </w:r>
    </w:p>
    <w:p w14:paraId="3E892805">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(6) Chuyển đổi số; cải cách hành chính</w:t>
      </w:r>
    </w:p>
    <w:p w14:paraId="2ED11957">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Đảng ủy tập trung lãnh đạo thực hiện các nhiệm vụ về chuyển đổi số, cải cách hành chính và xây dựng chính quyền số; tiếp tục duy trì, vận hành hiệu quả các nền tảng số, phần mềm dùng chung của Đảng và chính quyền; chỉ đạo các chi bộ, cơ quan, đơn vị thực hiện nghiêm việc cập nhật dữ liệu, xử lý văn bản điện tử, ký số và khai thác hiệu quả các hệ thống thông tin phục vụ công tác lãnh đạo, điều hành.</w:t>
      </w:r>
    </w:p>
    <w:p w14:paraId="29622980">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Công tác cải cách hành chính tiếp tục được quan tâm chỉ đạo; tăng cường kỷ luật, kỷ cương hành chính, nâng cao chất lượng phục vụ Nhân dân; đẩy mạnh tiếp nhận, giải quyết thủ tục hành chính trên môi trường điện tử và cung cấp dịch vụ công trực tuyến. </w:t>
      </w:r>
      <w:r>
        <w:rPr>
          <w:rStyle w:val="20"/>
          <w:rFonts w:hint="default" w:ascii="Times New Roman" w:hAnsi="Times New Roman" w:cs="Times New Roman"/>
          <w:color w:val="auto"/>
          <w:sz w:val="28"/>
          <w:szCs w:val="28"/>
          <w:u w:val="single"/>
        </w:rPr>
        <w:footnoteReference w:id="10"/>
      </w:r>
    </w:p>
    <w:p w14:paraId="74CA2F7C">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3. Quốc phòng, an ninh, nội chính</w:t>
      </w:r>
    </w:p>
    <w:p w14:paraId="0B8CA04F">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(1) Quốc phòng địa phương</w:t>
      </w:r>
    </w:p>
    <w:p w14:paraId="11B440DE">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Công tác quốc phòng, quân sự địa phương tiếp tục được cấp ủy quan tâm lãnh đạo, chỉ đạo; tình hình an ninh chính trị, trật tự an toàn xã hội, dân tộc, tôn giáo trên địa bàn ổn định, không phát sinh vụ việc phức tạp, hoạt động truyền đạo trái phép. Duy trì nghiêm chế độ trực sẵn sàng chiến đấu, chủ động nắm tình hình, sẵn sàng ứng phó thiên tai, tìm kiếm cứu nạn; triển khai xây dựng văn kiện, kế hoạch phục vụ diễn tập phòng thủ dân sự, ứng phó cháy rừng - tìm kiếm cứu nạn năm 2026.</w:t>
      </w:r>
    </w:p>
    <w:p w14:paraId="4B29520D">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Tiếp tục củng cố, kiện toàn lực lượng dân quân; tổ chức bồi dưỡng kiến thức quốc phòng và an ninh cho đối tượng 4 với 02 lớp, 100 đồng chí; thực hiện tốt công tác tuyển sinh quân sự, tuyển chọn, gọi công dân nhập ngũ và các chính sách hậu phương quân đội. Quản lý chặt chẽ vũ khí, trang bị kỹ thuật, bảo đảm an toàn; đẩy mạnh phong trào thi đua Quyết thắng, góp phần xây dựng nền quốc phòng toàn dân vững mạnh.</w:t>
      </w:r>
    </w:p>
    <w:p w14:paraId="30CBB940">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 xml:space="preserve"> (2) An ninh chính trị, trật tự an toàn xã hội</w:t>
      </w:r>
    </w:p>
    <w:p w14:paraId="5EF81933">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Công tác bảo đảm an ninh chính trị, trật tự an toàn xã hội tiếp tục được cấp ủy quan tâm lãnh đạo, chỉ đạo; tình hình địa bàn cơ bản ổn định, không phát sinh vụ việc phức tạp, nổi cộm, không có hoạt động truyền đạo trái phép. Chủ động nắm tình hình, quản lý địa bàn, đối tượng; tăng cường phòng ngừa, đấu tranh với các loại tội phạm, vi phạm pháp luật; duy trì phối hợp giữa Công an, Quân sự và các lực lượng trong xử lý tình huống phát sinh.</w:t>
      </w:r>
    </w:p>
    <w:p w14:paraId="6EEBA978">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Công tác phòng, chống tội phạm được triển khai đồng bộ; trong tháng không phát hiện, khởi tố vụ án hình sự, quản lý 21 đối tượng, không có trường hợp vi phạm, tái phạm; tiếp tục thực hiện các giải pháp xây dựng địa bàn “xã Lùng Phình không ma túy”.</w:t>
      </w:r>
    </w:p>
    <w:p w14:paraId="61D148AB">
      <w:pPr>
        <w:keepNext w:val="0"/>
        <w:keepLines w:val="0"/>
        <w:pageBreakBefore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Đẩy mạnh phong trào “Toàn dân bảo vệ an ninh Tổ quốc”; tăng cường tuyên truyền, vận động Nhân dân chấp hành pháp luật, tuần tra, kiểm soát, bảo đảm trật tự an toàn giao thông, phòng cháy, chữa cháy và cứu nạn, cứu hộ. Trong tháng không xảy ra tai nạn giao thông, góp phần giữ vững ổn định chính trị, trật tự, an toàn xã hội trên địa bàn.</w:t>
      </w:r>
    </w:p>
    <w:p w14:paraId="00358E3F">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w:t>
      </w:r>
      <w:r>
        <w:rPr>
          <w:rStyle w:val="20"/>
          <w:rFonts w:hint="default" w:ascii="Times New Roman" w:hAnsi="Times New Roman" w:cs="Times New Roman"/>
          <w:color w:val="auto"/>
          <w:sz w:val="28"/>
          <w:szCs w:val="28"/>
          <w:u w:val="single"/>
        </w:rPr>
        <w:footnoteReference w:id="11"/>
      </w:r>
      <w:r>
        <w:rPr>
          <w:rFonts w:hint="default" w:ascii="Times New Roman" w:hAnsi="Times New Roman" w:cs="Times New Roman"/>
          <w:color w:val="auto"/>
          <w:sz w:val="28"/>
          <w:szCs w:val="28"/>
        </w:rPr>
        <w:t>. Đồng thời, chỉ đạo thực hiện hiệu quả Chỉ thị về tăng cường sự lãnh đạo của Đảng đối với phong trào thi đua “Ba nhất: Kỷ luật nhất - Trung thành nhất - Gần dân nhất” trong lực lượng Công an tỉnh Lào Cai, góp phần nâng cao chất lượng công tác, giữ vững an ninh chính trị, trật tự an toàn xã hội trên địa bàn.</w:t>
      </w:r>
    </w:p>
    <w:p w14:paraId="50522907">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 xml:space="preserve"> (3) Công tác phòng, chống tội phạm, tệ nạn xã hội</w:t>
      </w:r>
    </w:p>
    <w:p w14:paraId="7AFCE0F6">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Tiếp tục triển khai đồng bộ các biện pháp phòng ngừa, đấu tranh phòng, chống tội phạm và tệ nạn xã hội; tăng cường công tác tuyên truyền, phổ biến pháp luật, nâng cao nhận thức và ý thức chấp hành pháp luật của Nhân dân.</w:t>
      </w:r>
    </w:p>
    <w:p w14:paraId="524F3208">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Lực lượng Công an xã chủ động phối hợp với các cơ quan, đơn vị và các thôn tăng cường quản lý địa bàn, quản lý đối tượng; kịp thời phát hiện, xử lý các hành vi vi phạm pháp luật; triển khai hiệu quả các đợt cao điểm tấn công, trấn áp tội phạm, phòng, chống ma túy, tệ nạn xã hội, bảo đảm an ninh, trật tự trên địa bàn.</w:t>
      </w:r>
    </w:p>
    <w:p w14:paraId="433F2FB4">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(4) Tiếp công dân, giải quyết khiếu nại, tố cáo</w:t>
      </w:r>
    </w:p>
    <w:p w14:paraId="6A15DB37">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Đảng ủy lãnh đạo thực hiện nghiêm công tác tiếp công dân theo quy định; duy trì lịch tiếp công dân định kỳ và đột xuất của người đứng đầu cấp ủy, chính quyền; chỉ đạo tiếp nhận, phân loại, xử lý và giải quyết đơn thư khiếu nại, tố cáo, kiến nghị, phản ánh đúng thẩm quyền, đúng trình tự, thủ tục và thời hạn theo quy định của pháp luật.</w:t>
      </w:r>
    </w:p>
    <w:p w14:paraId="6387AA1D">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Tăng cường đối thoại, hòa giải ngay từ cơ sở; chủ động nắm bắt tình hình, giải quyết kịp thời những vụ việc phát sinh, không để hình thành "điểm nóng", khiếu kiện đông người, vượt cấp hoặc kéo dài.</w:t>
      </w:r>
    </w:p>
    <w:p w14:paraId="66961245">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(5) Phòng, chống tham nhũng, lãng phí, tiêu cực; cải cách tư pháp</w:t>
      </w:r>
    </w:p>
    <w:p w14:paraId="2647C4F3">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Đảng ủy tiếp tục lãnh đạo, chỉ đạo thực hiện nghiêm các chủ trương, quy định của Đảng và pháp luật của Nhà nước về phòng, chống tham nhũng, lãng phí, tiêu cực; tăng cường công tác tuyên truyền, giáo dục chính trị tư tưởng, nâng cao trách nhiệm của cán bộ, đảng viên, công chức trong thực thi công vụ; thực hiện nghiêm các quy định về công khai, minh bạch, kiểm soát quyền lực và trách nhiệm nêu gương.</w:t>
      </w:r>
    </w:p>
    <w:p w14:paraId="2A5B56A0">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pacing w:val="-6"/>
          <w:sz w:val="28"/>
          <w:szCs w:val="28"/>
        </w:rPr>
      </w:pPr>
      <w:r>
        <w:rPr>
          <w:rFonts w:hint="default" w:ascii="Times New Roman" w:hAnsi="Times New Roman" w:cs="Times New Roman"/>
          <w:color w:val="auto"/>
          <w:spacing w:val="-6"/>
          <w:sz w:val="28"/>
          <w:szCs w:val="28"/>
        </w:rPr>
        <w:t>Tiếp tục triển khai thực hiện hiệu quả Chỉ thị của Tỉnh ủy về tăng cường thực hành tiết kiệm, chống lãng phí; đẩy mạnh công tác kiểm tra, giám sát việc quản lý, sử dụng ngân sách, tài sản công và đầu tư công; kịp thời phát hiện, chấn chỉnh các tồn tại, hạn chế, không để xảy ra hành vi tham nhũng, tiêu cực trên địa bàn.</w:t>
      </w:r>
    </w:p>
    <w:p w14:paraId="51BA4AF1">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Công tác cải cách tư pháp được quan tâm chỉ đạo; tăng cường phối hợp giữa các cơ quan trong công tác tuyên truyền, phổ biến, giáo dục pháp luật; nâng cao chất lượng giải quyết các vụ việc thuộc thẩm quyền, bảo đảm đúng quy định của pháp luật, góp phần giữ vững kỷ cương, pháp luật và ổn định tình hình địa phương</w:t>
      </w:r>
    </w:p>
    <w:p w14:paraId="0CC5CAE6">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Chỉ đạo thành lập, kiện toàn và đưa vào hoạt động hiệu quả Tổ tham mưu công tác nội chính thuộc Đảng ủy xã; ban hành quy chế hoạt động, phân công nhiệm vụ cụ thể, bảo đảm thực hiện tốt chức năng tham mưu cho Đảng ủy trong công tác nội chính, phòng, chống tham nhũng, lãng phí, tiêu cực và cải cách tư pháp.</w:t>
      </w:r>
    </w:p>
    <w:p w14:paraId="228C13A1">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highlight w:val="none"/>
        </w:rPr>
      </w:pPr>
      <w:r>
        <w:rPr>
          <w:rFonts w:hint="default" w:ascii="Times New Roman" w:hAnsi="Times New Roman" w:cs="Times New Roman"/>
          <w:b/>
          <w:color w:val="auto"/>
          <w:sz w:val="28"/>
          <w:szCs w:val="28"/>
          <w:highlight w:val="none"/>
        </w:rPr>
        <w:t>(6) Kết quả thực hiện Nghị quyết số 10-NQ/ĐU</w:t>
      </w:r>
    </w:p>
    <w:p w14:paraId="3D986B60">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eastAsia="SimSun" w:cs="Times New Roman"/>
          <w:color w:val="auto"/>
          <w:sz w:val="28"/>
          <w:szCs w:val="28"/>
        </w:rPr>
      </w:pPr>
      <w:r>
        <w:rPr>
          <w:rFonts w:hint="default" w:ascii="Times New Roman" w:hAnsi="Times New Roman" w:eastAsia="SimSun" w:cs="Times New Roman"/>
          <w:color w:val="auto"/>
          <w:sz w:val="28"/>
          <w:szCs w:val="28"/>
        </w:rPr>
        <w:t>Đến tháng 8 năm 2026, việc thực hiện các chỉ tiêu chủ yếu theo Nghị quyết số 10-NQ/ĐU cơ bản bảo đảm tiến độ. Một số chỉ tiêu đạt và vượt kế hoạch như: diện tích lúa 650/650 ha, đạt 100%; diện tích ngô 1.110/1.110 ha, đạt 100%; diện tích cây ăn quả 581/580 ha, đạt 100,17%; rừng được khoán bảo vệ 2.469,64/2.469,64 ha, đạt 100%; sản phẩm OCOP đạt 3/3 sản phẩm; thu ngân sách nhà nước trên địa bàn đạt 2.592 triệu đồng, bằng 236,71% kế hoạch; thu ngân sách địa phương đạt 147,84% kế hoạch; tỷ lệ bao phủ BHYT đạt 99%; giải quyết đơn thư đúng hạn đạt 100%. Bên cạnh đó, một số chỉ tiêu còn thấp, tiến độ chưa đạt yêu cầu như trồng mới rừng tập trung đạt 13,4/56 ha (23,93%); diện tích cây dược liệu đạt 65/120 ha (54,17%); cấp giấy chứng nhận quyền sử dụng đất đạt 40/51 giấy (78,43%); kết nạp đảng viên mới đạt 20/26 đồng chí (76,92%); thành lập HTX, THT mới chưa thực hiện. Đảng ủy tiếp tục tập trung lãnh đạo, chỉ đạo, phân công rõ trách nhiệm, rà soát từng chỉ tiêu, nhất là các chỉ tiêu đạt thấp, phấn đấu hoàn thành cao nhất các mục tiêu Nghị quyết năm 2026.</w:t>
      </w:r>
    </w:p>
    <w:p w14:paraId="4CD80FF1">
      <w:pPr>
        <w:keepNext w:val="0"/>
        <w:keepLines w:val="0"/>
        <w:pageBreakBefore w:val="0"/>
        <w:widowControl w:val="0"/>
        <w:kinsoku/>
        <w:wordWrap/>
        <w:overflowPunct/>
        <w:topLinePunct w:val="0"/>
        <w:autoSpaceDE/>
        <w:autoSpaceDN/>
        <w:bidi w:val="0"/>
        <w:adjustRightInd/>
        <w:snapToGrid/>
        <w:ind w:firstLine="720"/>
        <w:jc w:val="center"/>
        <w:textAlignment w:val="auto"/>
        <w:rPr>
          <w:rFonts w:hint="default" w:ascii="Times New Roman" w:hAnsi="Times New Roman" w:cs="Times New Roman"/>
          <w:i/>
          <w:iCs/>
          <w:color w:val="auto"/>
          <w:spacing w:val="-4"/>
          <w:sz w:val="28"/>
          <w:szCs w:val="28"/>
        </w:rPr>
      </w:pPr>
      <w:r>
        <w:rPr>
          <w:rFonts w:hint="default" w:ascii="Times New Roman" w:hAnsi="Times New Roman" w:cs="Times New Roman"/>
          <w:i/>
          <w:iCs/>
          <w:color w:val="auto"/>
          <w:sz w:val="28"/>
          <w:szCs w:val="28"/>
        </w:rPr>
        <w:t>(Có biểu chi tiết kèm theo)</w:t>
      </w:r>
    </w:p>
    <w:p w14:paraId="39C7FB51">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pacing w:val="-6"/>
          <w:sz w:val="28"/>
          <w:szCs w:val="28"/>
        </w:rPr>
      </w:pPr>
      <w:r>
        <w:rPr>
          <w:rFonts w:hint="default" w:ascii="Times New Roman" w:hAnsi="Times New Roman" w:cs="Times New Roman"/>
          <w:b/>
          <w:color w:val="auto"/>
          <w:spacing w:val="-6"/>
          <w:sz w:val="28"/>
          <w:szCs w:val="28"/>
        </w:rPr>
        <w:t>4. Hoạt động của HĐND, UBND, MTTQ và các tổ chức chính trị - xã hội</w:t>
      </w:r>
    </w:p>
    <w:p w14:paraId="4801212D">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(1) Hoạt động của HĐND</w:t>
      </w:r>
    </w:p>
    <w:p w14:paraId="56A73D70">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highlight w:val="none"/>
        </w:rPr>
      </w:pPr>
      <w:r>
        <w:rPr>
          <w:rFonts w:hint="default" w:ascii="Times New Roman" w:hAnsi="Times New Roman" w:eastAsia="SimSun" w:cs="Times New Roman"/>
          <w:color w:val="auto"/>
          <w:sz w:val="28"/>
          <w:szCs w:val="28"/>
          <w:highlight w:val="none"/>
        </w:rPr>
        <w:t>Thường trực HĐND xã bám sát sự lãnh đạo của Đảng ủy, chủ động triển khai chương trình công tác, duy trì chế độ giao ban, phối hợp với UBND, Ủy ban MTTQ Việt Nam xã và các cơ quan, đơn vị trong thực hiện nhiệm vụ. Tổ chức phiên họp thứ 3 HĐND xã khóa III, nhiệm kỳ 2026 - 2031; tham gia các hội nghị tiếp xúc cử tri sau kỳ họp thường lệ giữa năm; tổ chức phổ biến các nghị quyết của HĐND tỉnh và xây dựng lịch tiếp công dân của Thường trực HĐND, đại biểu HĐND xã. Tăng cường công tác giám sát, khảo sát tại cơ sở, trọng tâm là giám sát việc triển khai thực hiện Dự án 6 thuộc Chương trình mục tiêu quốc gia phát triển kinh tế - xã hội vùng đồng bào dân tộc thiểu số và miền núi; tổ chức phiên giải trình về công tác quản lý, sử dụng kinh phí phục vụ bầu cử đại biểu Quốc hội khóa XVI và đại biểu HĐND các cấp nhiệm kỳ 2026 - 2031. Thường xuyên theo dõi, đôn đốc việc thực hiện nghị quyết của HĐND xã và giải quyết ý kiến, kiến nghị của cử tri; duy trì công tác tiếp công dân, trong tháng không phát sinh đơn thư thuộc thẩm quyền xem xét, giải quyết của HĐND xã.</w:t>
      </w:r>
    </w:p>
    <w:p w14:paraId="6CB5DAFE">
      <w:pPr>
        <w:keepNext w:val="0"/>
        <w:keepLines w:val="0"/>
        <w:pageBreakBefore w:val="0"/>
        <w:widowControl w:val="0"/>
        <w:kinsoku/>
        <w:wordWrap/>
        <w:overflowPunct/>
        <w:topLinePunct w:val="0"/>
        <w:autoSpaceDE/>
        <w:autoSpaceDN/>
        <w:bidi w:val="0"/>
        <w:adjustRightInd/>
        <w:snapToGrid/>
        <w:spacing w:beforeAutospacing="0" w:afterAutospacing="0"/>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(2) Hoạt động của UBND</w:t>
      </w:r>
    </w:p>
    <w:p w14:paraId="644323A4">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Đảng ủy tập trung lãnh đạo, chỉ đạo UBND xã chủ động triển khai thực hiện các nhiệm vụ phát triển kinh tế - xã hội, quốc phòng - an ninh, xây dựng chính quyền, cải cách hành chính theo chương trình, kế hoạch đề ra; bám sát chỉ đạo của Trung ương, của tỉnh và nhiệm vụ chính trị của địa phương, kịp thời chỉ đạo, giải quyết những khó khăn, vướng mắc phát sinh.</w:t>
      </w:r>
    </w:p>
    <w:p w14:paraId="363F9102">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UBND xã tăng cường công tác quản lý nhà nước trên các lĩnh vực; tập trung chỉ đạo thực hiện các nhiệm vụ phát triển sản xuất, quản lý đất đai, tài nguyên, môi trường, đầu tư xây dựng cơ bản, thu - chi ngân sách, văn hóa - xã hội, an sinh xã hội; đôn đốc các cơ quan chuyên môn và các thôn tổ chức thực hiện nghiêm túc nhiệm vụ được giao. Tiếp tục duy trì kỷ luật, kỷ cương hành chính, đẩy mạnh cải cách hành chính, ứng dụng công nghệ thông tin, nâng cao chất lượng giải quyết thủ tục hành chính và phục vụ Nhân dân; công tác tiếp công dân, giải quyết đơn thư, kiến nghị, phản ánh được quan tâm thực hiện theo quy định.</w:t>
      </w:r>
    </w:p>
    <w:p w14:paraId="3288D43B">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pacing w:val="-10"/>
          <w:sz w:val="28"/>
          <w:szCs w:val="28"/>
        </w:rPr>
      </w:pPr>
      <w:r>
        <w:rPr>
          <w:rFonts w:hint="default" w:ascii="Times New Roman" w:hAnsi="Times New Roman" w:cs="Times New Roman"/>
          <w:b/>
          <w:color w:val="auto"/>
          <w:spacing w:val="-10"/>
          <w:sz w:val="28"/>
          <w:szCs w:val="28"/>
        </w:rPr>
        <w:t>(3) Hoạt động của Ủy ban MTTQ Việt Nam xã và các tổ chức chính trị - xã hội</w:t>
      </w:r>
    </w:p>
    <w:p w14:paraId="62108B25">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Ủy ban MTTQ Việt Nam xã và các tổ chức chính trị - xã hội tiếp tục bám sát sự lãnh đạo của cấp ủy, triển khai thực hiện chương trình công tác năm; đẩy mạnh tuyên truyền, vận động đoàn viên, hội viên và Nhân dân chấp hành chủ trương của Đảng, chính sách, pháp luật của Nhà nước, tích cực tham gia các phong trào thi đua, các cuộc vận động và thực hiện nhiệm vụ chính trị của địa phương. Chủ động nắm tình hình tư tưởng, đời sống, tâm tư, nguyện vọng của Nhân dân; phối hợp thực hiện công tác an sinh xã hội, đền ơn đáp nghĩa, bảo vệ môi trường, phòng, chống ma túy, thiên tai và xây dựng nông thôn mới. </w:t>
      </w:r>
      <w:r>
        <w:rPr>
          <w:rStyle w:val="20"/>
          <w:rFonts w:hint="default" w:ascii="Times New Roman" w:hAnsi="Times New Roman" w:cs="Times New Roman"/>
          <w:color w:val="auto"/>
          <w:sz w:val="28"/>
          <w:szCs w:val="28"/>
          <w:u w:val="single"/>
        </w:rPr>
        <w:footnoteReference w:id="12"/>
      </w:r>
    </w:p>
    <w:p w14:paraId="746F7A26">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5. Công tác xây dựng Đảng và hệ thống chính trị</w:t>
      </w:r>
    </w:p>
    <w:p w14:paraId="73ADEF53">
      <w:pPr>
        <w:keepNext w:val="0"/>
        <w:keepLines w:val="0"/>
        <w:pageBreakBefore w:val="0"/>
        <w:widowControl w:val="0"/>
        <w:kinsoku/>
        <w:wordWrap/>
        <w:overflowPunct/>
        <w:topLinePunct w:val="0"/>
        <w:autoSpaceDE/>
        <w:autoSpaceDN/>
        <w:bidi w:val="0"/>
        <w:adjustRightInd/>
        <w:snapToGrid/>
        <w:spacing w:beforeAutospacing="0" w:afterAutospacing="0"/>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(1) Công tác chính trị, tư tưởng</w:t>
      </w:r>
    </w:p>
    <w:p w14:paraId="28E22221">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Đảng ủy xã tập trung lãnh đạo, chỉ đạo thực hiện tốt công tác chính trị, tư tưởng; kịp thời quán triệt, tuyên truyền các chủ trương, nghị quyết, chỉ thị, quy định, kết luận của Trung ương, của Tỉnh ủy đến cán bộ, đảng viên và Nhân dân. Tiếp tục thực hiện Kết luận số 01-KL/TW của Bộ Chính trị gắn với xây dựng, chỉnh đốn Đảng, trách nhiệm nêu gương và thực hiện chuẩn mực đạo đức cách mạng của cán bộ, đảng viên</w:t>
      </w:r>
      <w:r>
        <w:rPr>
          <w:rFonts w:hint="default" w:ascii="Times New Roman" w:hAnsi="Times New Roman" w:cs="Times New Roman"/>
          <w:color w:val="auto"/>
          <w:sz w:val="28"/>
          <w:szCs w:val="28"/>
          <w:lang w:val="en-US"/>
        </w:rPr>
        <w:t>.</w:t>
      </w:r>
    </w:p>
    <w:p w14:paraId="6A9F6432">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rPr>
      </w:pPr>
      <w:r>
        <w:rPr>
          <w:rFonts w:hint="default" w:ascii="Times New Roman" w:hAnsi="Times New Roman" w:cs="Times New Roman"/>
          <w:color w:val="auto"/>
          <w:sz w:val="28"/>
          <w:szCs w:val="28"/>
        </w:rPr>
        <w:t>Tập trung tuyên truyền các nghị quyết, quy định, kết luận mới của Trung ương và các nhiệm vụ chính trị của địa phương; đổi mới hình thức tuyên truyền, chú trọng hệ thống truyền thanh, sinh hoạt chi bộ và các nền tảng thông tin phù hợp. Chủ động nắm tình hình tư tưởng, dư luận xã hội; kịp thời định hướng, giải quyết những vấn đề phát sinh, góp phần giữ vững đoàn kết, thống nhất trong Đảng và đồng thuận trong Nhân dân. Quan tâm công tác tạo nguồn, bồi dưỡng quần chúng ưu tú, nâng cao chất lượng công tác phát triển đả</w:t>
      </w:r>
      <w:r>
        <w:rPr>
          <w:rFonts w:hint="default" w:ascii="Times New Roman" w:hAnsi="Times New Roman" w:cs="Times New Roman"/>
          <w:color w:val="auto"/>
        </w:rPr>
        <w:t>ng viên.</w:t>
      </w:r>
    </w:p>
    <w:p w14:paraId="515DB183">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(2) Công tác tổ chức xây dựng Đảng</w:t>
      </w:r>
    </w:p>
    <w:p w14:paraId="1DCAD412">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Đảng ủy xã tập trung lãnh đạo, chỉ đạo thực hiện công tác tổ chức xây dựng Đảng, quản lý cán bộ, đảng viên theo quy định; tiếp tục rà soát, kiện toàn tổ chức bộ máy, phân công nhiệm vụ, thực hiện đầy đủ, kịp thời chế độ, chính sách đối với cán bộ, công chức. Trong tháng, bổ nhiệm 02 cán bộ quản lý ngành giáo dục; đề nghị nâng lương thường xuyên cho 07 đồng chí.</w:t>
      </w:r>
    </w:p>
    <w:p w14:paraId="298DDD08">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Đảng bộ có 27 chi bộ trực thuộc, 744 đảng viên. Các chi bộ duy trì nền nếp sinh hoạt, thực hiện nghiêm quy định về sinh hoạt Đảng; tổ chức quán triệt, triển khai các chủ trương, nghị quyết của Đảng đến cán bộ, đảng viên. Công tác tạo nguồn, phát triển đảng viên được quan tâm; trong tháng thực hiện thẩm tra tiêu chuẩn chính trị đối với 05 quần chúng đề nghị kết nạp Đảng.</w:t>
      </w:r>
    </w:p>
    <w:p w14:paraId="7AF75A42">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Công tác bảo vệ chính trị nội bộ được thực hiện nghiêm túc; chủ động rà soát, thẩm định, kết luận tiêu chuẩn chính trị phục vụ công tác cán bộ, công tác quy hoạch và phát triển đảng viên, góp phần bảo đảm tiêu chuẩn, điều kiện theo quy định.</w:t>
      </w:r>
    </w:p>
    <w:p w14:paraId="51965950">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(3) Công tác kiểm tra, giám sát và thi hành kỷ luật Đảng</w:t>
      </w:r>
    </w:p>
    <w:p w14:paraId="269B4D40">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Đảng ủy, Ủy ban Kiểm tra Đảng ủy xã tập trung triển khai chương trình kiểm tra, giám sát năm 2026; chủ động tham mưu điều chỉnh, bổ sung chương trình kiểm tra, giám sát toàn khóa và năm 2026 phù hợp với tình hình thực tế. Thực hiện 01 cuộc giám sát chuyên đề đối với 01 tổ chức đảng và 01 đảng viên; tiếp tục kiểm tra, xác minh, làm rõ hồ sơ liên quan đến tài sản công tại Xưởng sơ chế, chế biến dược liệu thôn Tả Chải, báo cáo kết quả theo quy định.</w:t>
      </w:r>
    </w:p>
    <w:p w14:paraId="12235940">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Thực hiện đầy đủ các nhiệm vụ do Ủy ban Kiểm tra Tỉnh ủy giao; tổng hợp, báo cáo thống kê công tác kiểm tra, giám sát, thi hành kỷ luật Đảng; rà soát, thẩm định tiêu chuẩn chính trị phục vụ công tác cán bộ và phát triển đảng viên. Trong tháng, không phát sinh tổ chức đảng, đảng viên có dấu hiệu vi phạm; không có đơn thư khiếu nại, tố cáo, phản ánh, kiến nghị thuộc thẩm quyền; không phát sinh trường hợp phải thi hành kỷ luật Đảng.</w:t>
      </w:r>
    </w:p>
    <w:p w14:paraId="07F43947">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Công tác hướng dẫn, trao đổi nghiệp vụ kiểm tra, giám sát được duy trì; tổ chức, tham gia tập huấn nghiệp vụ công tác kiểm tra, giám sát, kỷ luật Đảng và kiểm soát tài sản, thu nhập năm 2026 với 28 đại biểu tham dự đầy đủ, nghiêm túc.</w:t>
      </w:r>
    </w:p>
    <w:p w14:paraId="57C54809">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(4) Công tác tuyên giáo, dân vận</w:t>
      </w:r>
    </w:p>
    <w:p w14:paraId="5D685DE4">
      <w:pPr>
        <w:keepNext w:val="0"/>
        <w:keepLines w:val="0"/>
        <w:pageBreakBefore w:val="0"/>
        <w:kinsoku/>
        <w:wordWrap/>
        <w:overflowPunct/>
        <w:topLinePunct w:val="0"/>
        <w:autoSpaceDE/>
        <w:autoSpaceDN/>
        <w:bidi w:val="0"/>
        <w:adjustRightInd/>
        <w:snapToGrid/>
        <w:ind w:firstLine="709"/>
        <w:jc w:val="both"/>
        <w:textAlignment w:val="auto"/>
        <w:rPr>
          <w:rFonts w:hint="default" w:ascii="Times New Roman" w:hAnsi="Times New Roman" w:eastAsia="SimSun" w:cs="Times New Roman"/>
          <w:color w:val="auto"/>
          <w:sz w:val="28"/>
          <w:szCs w:val="28"/>
        </w:rPr>
      </w:pPr>
      <w:r>
        <w:rPr>
          <w:rFonts w:hint="default" w:ascii="Times New Roman" w:hAnsi="Times New Roman" w:eastAsia="SimSun" w:cs="Times New Roman"/>
          <w:color w:val="auto"/>
          <w:sz w:val="28"/>
          <w:szCs w:val="28"/>
        </w:rPr>
        <w:t>Ban Xây dựng Đảng chủ động tham mưu Đảng ủy xã lãnh đạo, chỉ đạo triển khai kịp thời công tác tuyên giáo, tuyên vận và lý luận chính trị. Tham mưu ban hành kế hoạch tổ chức Hội nghị chuyên đề giáo dục lý tưởng cách mạng, đạo đức, lối sống cho thế hệ trẻ năm 2026; kế hoạch nghiên cứu, học tập, quán triệt, tuyên truyền và triển khai thực hiện Nghị quyết Hội nghị lần thứ ba Ban Chấp hành Trung ương Đảng khóa XIV. Đồng thời, tham mưu xây dựng các báo cáo kết quả học tập, quán triệt, tuyên truyền, triển khai thực hiện Nghị quyết Đại hội XIV của Đảng và các nghị quyết chuyên đề của Bộ Chính trị, bảo đảm kịp thời, đúng yêu cầu.</w:t>
      </w:r>
    </w:p>
    <w:p w14:paraId="2A530500">
      <w:pPr>
        <w:keepNext w:val="0"/>
        <w:keepLines w:val="0"/>
        <w:pageBreakBefore w:val="0"/>
        <w:numPr>
          <w:ilvl w:val="0"/>
          <w:numId w:val="1"/>
        </w:numPr>
        <w:kinsoku/>
        <w:wordWrap/>
        <w:overflowPunct/>
        <w:topLinePunct w:val="0"/>
        <w:autoSpaceDE/>
        <w:autoSpaceDN/>
        <w:bidi w:val="0"/>
        <w:adjustRightInd/>
        <w:snapToGrid/>
        <w:ind w:firstLine="709"/>
        <w:jc w:val="both"/>
        <w:textAlignment w:val="auto"/>
        <w:rPr>
          <w:rFonts w:hint="default" w:ascii="Times New Roman" w:hAnsi="Times New Roman" w:cs="Times New Roman"/>
          <w:color w:val="auto"/>
          <w:sz w:val="28"/>
          <w:szCs w:val="28"/>
        </w:rPr>
      </w:pPr>
      <w:r>
        <w:rPr>
          <w:rFonts w:hint="default" w:ascii="Times New Roman" w:hAnsi="Times New Roman" w:cs="Times New Roman"/>
          <w:b/>
          <w:color w:val="auto"/>
          <w:sz w:val="28"/>
          <w:szCs w:val="28"/>
        </w:rPr>
        <w:t>Hoạt động của các chi bộ trực thuộc</w:t>
      </w:r>
    </w:p>
    <w:p w14:paraId="25DF901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ind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Trong tháng 8, các chi bộ trực thuộc Đảng bộ xã bám sát sự lãnh đạo, chỉ đạo của Đảng ủy, duy trì nền nếp sinh hoạt định kỳ, sinh hoạt chuyên đề; kịp thời quán triệt, triển khai các chủ trương, nghị quyết, chỉ thị, kết luận của Đảng gắn với thực hiện nhiệm vụ chính trị tại cơ sở. Các đồng chí Thường trực Đảng ủy, Ủy viên Ban Chấp hành Đảng bộ xã duy trì dự sinh hoạt, theo dõi, hướng dẫn, góp phần nâng cao chất lượng sinh hoạt chi bộ.</w:t>
      </w:r>
    </w:p>
    <w:p w14:paraId="30F12F33">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720" w:firstLineChars="0"/>
        <w:jc w:val="both"/>
        <w:textAlignment w:val="auto"/>
        <w:rPr>
          <w:rFonts w:hint="default" w:ascii="Times New Roman" w:hAnsi="Times New Roman" w:cs="Times New Roman"/>
          <w:b/>
          <w:color w:val="auto"/>
          <w:sz w:val="28"/>
          <w:szCs w:val="28"/>
        </w:rPr>
      </w:pPr>
      <w:r>
        <w:rPr>
          <w:rFonts w:hint="default" w:ascii="Times New Roman" w:hAnsi="Times New Roman" w:cs="Times New Roman"/>
          <w:color w:val="auto"/>
          <w:sz w:val="28"/>
          <w:szCs w:val="28"/>
        </w:rPr>
        <w:t>Các chi bộ phát huy vai trò hạt nhân chính trị, lãnh đạo cán bộ, đảng viên và Nhân dân thực hiện nhiệm vụ phát triển kinh tế - xã hội, bảo đảm quốc phòng - an ninh; quan tâm quản lý, giáo dục đảng viên, tạo nguồn phát triển đảng viên, thực hiện công tác kiểm tra, giám sát và ứng dụng Sổ tay điện tử đảng viên. Hoạt động của các chi bộ cơ bản đi vào nền nếp, góp phần nâng cao năng lực lãnh đạo, sức chiến đấu của tổ chức cơ sở đảng và thực hiện thắng lợi nhiệm vụ chính trị của Đảng bộ xã.</w:t>
      </w:r>
    </w:p>
    <w:p w14:paraId="19E8E817">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III. ĐÁNH GIÁ CHUNG</w:t>
      </w:r>
    </w:p>
    <w:p w14:paraId="171C88E2">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1. Kết quả nổi bật</w:t>
      </w:r>
    </w:p>
    <w:p w14:paraId="3B2B3C71">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en-US"/>
        </w:rPr>
        <w:t xml:space="preserve">(1) </w:t>
      </w:r>
      <w:r>
        <w:rPr>
          <w:rFonts w:hint="default" w:ascii="Times New Roman" w:hAnsi="Times New Roman" w:cs="Times New Roman"/>
          <w:color w:val="auto"/>
          <w:sz w:val="28"/>
          <w:szCs w:val="28"/>
        </w:rPr>
        <w:t xml:space="preserve">Trong tháng 8 năm 2026, Ban Thường vụ, Thường trực Đảng ủy xã đã tập trung lãnh đạo, chỉ đạo toàn diện, có trọng tâm, trọng điểm các nhiệm vụ chính trị; kịp thời quán triệt, cụ thể hóa các nghị quyết, chỉ thị, kết luận, văn bản chỉ đạo của Trung ương, Tỉnh ủy và cấp trên. Trong tháng, Đảng ủy đã lãnh đạo, chỉ đạo ban hành trên </w:t>
      </w:r>
      <w:r>
        <w:rPr>
          <w:rStyle w:val="27"/>
          <w:rFonts w:hint="default" w:ascii="Times New Roman" w:hAnsi="Times New Roman" w:cs="Times New Roman"/>
          <w:b w:val="0"/>
          <w:bCs w:val="0"/>
          <w:color w:val="auto"/>
          <w:sz w:val="28"/>
          <w:szCs w:val="28"/>
        </w:rPr>
        <w:t>176 văn bản</w:t>
      </w:r>
      <w:r>
        <w:rPr>
          <w:rFonts w:hint="default" w:ascii="Times New Roman" w:hAnsi="Times New Roman" w:cs="Times New Roman"/>
          <w:b w:val="0"/>
          <w:bCs w:val="0"/>
          <w:color w:val="auto"/>
          <w:sz w:val="28"/>
          <w:szCs w:val="28"/>
        </w:rPr>
        <w:t xml:space="preserve"> </w:t>
      </w:r>
      <w:r>
        <w:rPr>
          <w:rFonts w:hint="default" w:ascii="Times New Roman" w:hAnsi="Times New Roman" w:cs="Times New Roman"/>
          <w:color w:val="auto"/>
          <w:sz w:val="28"/>
          <w:szCs w:val="28"/>
        </w:rPr>
        <w:t>trên các lĩnh vực; duy trì nghiêm chế độ giao ban, kiểm tra, đôn đốc, kịp thời xử lý các nhiệm vụ phát sinh, góp phần bảo đảm tiến độ thực hiện nhiệm vụ.</w:t>
      </w:r>
    </w:p>
    <w:p w14:paraId="271DB67C">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b/>
          <w:bCs/>
          <w:color w:val="auto"/>
          <w:sz w:val="28"/>
          <w:szCs w:val="28"/>
          <w:lang w:val="en-US"/>
        </w:rPr>
        <w:t>(2)</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 xml:space="preserve">Kinh tế - xã hội tiếp tục duy trì ổn định. Sản xuất nông nghiệp cơ bản bảo đảm tiến độ, </w:t>
      </w:r>
      <w:r>
        <w:rPr>
          <w:rStyle w:val="27"/>
          <w:rFonts w:hint="default" w:ascii="Times New Roman" w:hAnsi="Times New Roman" w:cs="Times New Roman"/>
          <w:b w:val="0"/>
          <w:bCs w:val="0"/>
          <w:color w:val="auto"/>
          <w:sz w:val="28"/>
          <w:szCs w:val="28"/>
        </w:rPr>
        <w:t>diện tích lúa đạt 650/650 ha, bằng 100% kế hoạch; diện tích ngô đạt 1.110/1.110 ha, bằng 100% kế hoạch</w:t>
      </w:r>
      <w:r>
        <w:rPr>
          <w:rFonts w:hint="default" w:ascii="Times New Roman" w:hAnsi="Times New Roman" w:cs="Times New Roman"/>
          <w:b w:val="0"/>
          <w:bCs w:val="0"/>
          <w:color w:val="auto"/>
          <w:sz w:val="28"/>
          <w:szCs w:val="28"/>
        </w:rPr>
        <w:t>. C</w:t>
      </w:r>
      <w:r>
        <w:rPr>
          <w:rFonts w:hint="default" w:ascii="Times New Roman" w:hAnsi="Times New Roman" w:cs="Times New Roman"/>
          <w:color w:val="auto"/>
          <w:sz w:val="28"/>
          <w:szCs w:val="28"/>
        </w:rPr>
        <w:t xml:space="preserve">ông tác quản lý đất đai, tài nguyên, môi trường được tăng cường; đã </w:t>
      </w:r>
      <w:r>
        <w:rPr>
          <w:rStyle w:val="27"/>
          <w:rFonts w:hint="default" w:ascii="Times New Roman" w:hAnsi="Times New Roman" w:cs="Times New Roman"/>
          <w:b w:val="0"/>
          <w:bCs w:val="0"/>
          <w:color w:val="auto"/>
          <w:sz w:val="28"/>
          <w:szCs w:val="28"/>
        </w:rPr>
        <w:t>chuẩn hóa 538/538 thửa đất, đạt 100%</w:t>
      </w:r>
      <w:r>
        <w:rPr>
          <w:rFonts w:hint="default" w:ascii="Times New Roman" w:hAnsi="Times New Roman" w:cs="Times New Roman"/>
          <w:color w:val="auto"/>
          <w:sz w:val="28"/>
          <w:szCs w:val="28"/>
        </w:rPr>
        <w:t xml:space="preserve"> đối với nhóm dữ liệu cần làm sạch; rà soát </w:t>
      </w:r>
      <w:r>
        <w:rPr>
          <w:rStyle w:val="27"/>
          <w:rFonts w:hint="default" w:ascii="Times New Roman" w:hAnsi="Times New Roman" w:cs="Times New Roman"/>
          <w:b w:val="0"/>
          <w:bCs w:val="0"/>
          <w:color w:val="auto"/>
          <w:sz w:val="28"/>
          <w:szCs w:val="28"/>
        </w:rPr>
        <w:t>44.571/47.626 thửa, đạt 93,5%</w:t>
      </w:r>
      <w:r>
        <w:rPr>
          <w:rFonts w:hint="default" w:ascii="Times New Roman" w:hAnsi="Times New Roman" w:cs="Times New Roman"/>
          <w:color w:val="auto"/>
          <w:sz w:val="28"/>
          <w:szCs w:val="28"/>
        </w:rPr>
        <w:t xml:space="preserve"> đối với nhóm cần bổ sung thông tin. Thu ngân sách trên địa bàn đạt kết quả tích cực, </w:t>
      </w:r>
      <w:r>
        <w:rPr>
          <w:rStyle w:val="27"/>
          <w:rFonts w:hint="default" w:ascii="Times New Roman" w:hAnsi="Times New Roman" w:cs="Times New Roman"/>
          <w:b w:val="0"/>
          <w:bCs w:val="0"/>
          <w:color w:val="auto"/>
          <w:sz w:val="28"/>
          <w:szCs w:val="28"/>
        </w:rPr>
        <w:t>lũy kế 2.592/1.095 triệu đồng, đạt 236,71% kế hoạch</w:t>
      </w:r>
      <w:r>
        <w:rPr>
          <w:rFonts w:hint="default" w:ascii="Times New Roman" w:hAnsi="Times New Roman" w:cs="Times New Roman"/>
          <w:b w:val="0"/>
          <w:bCs w:val="0"/>
          <w:color w:val="auto"/>
          <w:sz w:val="28"/>
          <w:szCs w:val="28"/>
        </w:rPr>
        <w:t>;</w:t>
      </w:r>
      <w:r>
        <w:rPr>
          <w:rFonts w:hint="default" w:ascii="Times New Roman" w:hAnsi="Times New Roman" w:cs="Times New Roman"/>
          <w:color w:val="auto"/>
          <w:sz w:val="28"/>
          <w:szCs w:val="28"/>
        </w:rPr>
        <w:t xml:space="preserve"> giải ngân vốn đầu tư xây dựng cơ bản đạt </w:t>
      </w:r>
      <w:r>
        <w:rPr>
          <w:rStyle w:val="27"/>
          <w:rFonts w:hint="default" w:ascii="Times New Roman" w:hAnsi="Times New Roman" w:cs="Times New Roman"/>
          <w:b w:val="0"/>
          <w:bCs w:val="0"/>
          <w:color w:val="auto"/>
          <w:sz w:val="28"/>
          <w:szCs w:val="28"/>
        </w:rPr>
        <w:t>14.577/30.634 triệu đồng, bằng 47,6% kế hoạch vốn đã phân bổ</w:t>
      </w:r>
      <w:r>
        <w:rPr>
          <w:rFonts w:hint="default" w:ascii="Times New Roman" w:hAnsi="Times New Roman" w:cs="Times New Roman"/>
          <w:b w:val="0"/>
          <w:bCs w:val="0"/>
          <w:color w:val="auto"/>
          <w:sz w:val="28"/>
          <w:szCs w:val="28"/>
        </w:rPr>
        <w:t>.</w:t>
      </w:r>
    </w:p>
    <w:p w14:paraId="160ABB0C">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en-US"/>
        </w:rPr>
        <w:t>(3)</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 xml:space="preserve">Các lĩnh vực văn hóa - xã hội tiếp tục được quan tâm. </w:t>
      </w:r>
      <w:r>
        <w:rPr>
          <w:rStyle w:val="27"/>
          <w:rFonts w:hint="default" w:ascii="Times New Roman" w:hAnsi="Times New Roman" w:cs="Times New Roman"/>
          <w:b w:val="0"/>
          <w:bCs w:val="0"/>
          <w:color w:val="auto"/>
          <w:sz w:val="28"/>
          <w:szCs w:val="28"/>
        </w:rPr>
        <w:t>Tỷ lệ trường học đạt chuẩn quốc gia đạt 77,8%; tỷ lệ lao động qua đào tạo đạt 99,26%; tỷ lệ bao phủ bảo hiểm y tế đạt 99%</w:t>
      </w:r>
      <w:r>
        <w:rPr>
          <w:rFonts w:hint="default" w:ascii="Times New Roman" w:hAnsi="Times New Roman" w:cs="Times New Roman"/>
          <w:b w:val="0"/>
          <w:bCs w:val="0"/>
          <w:color w:val="auto"/>
          <w:sz w:val="28"/>
          <w:szCs w:val="28"/>
        </w:rPr>
        <w:t>.</w:t>
      </w:r>
      <w:r>
        <w:rPr>
          <w:rFonts w:hint="default" w:ascii="Times New Roman" w:hAnsi="Times New Roman" w:cs="Times New Roman"/>
          <w:color w:val="auto"/>
          <w:sz w:val="28"/>
          <w:szCs w:val="28"/>
        </w:rPr>
        <w:t xml:space="preserve"> Công tác chăm sóc sức khỏe Nhân dân, an sinh xã hội, giảm nghèo, giáo dục, văn hóa, du lịch được triển khai đồng bộ, đúng quy định.</w:t>
      </w:r>
    </w:p>
    <w:p w14:paraId="2A9FAD67">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jc w:val="both"/>
        <w:textAlignment w:val="auto"/>
        <w:rPr>
          <w:rFonts w:hint="default" w:ascii="Times New Roman" w:hAnsi="Times New Roman" w:cs="Times New Roman"/>
          <w:b w:val="0"/>
          <w:bCs w:val="0"/>
          <w:color w:val="auto"/>
          <w:sz w:val="28"/>
          <w:szCs w:val="28"/>
        </w:rPr>
      </w:pPr>
      <w:r>
        <w:rPr>
          <w:rFonts w:hint="default" w:ascii="Times New Roman" w:hAnsi="Times New Roman" w:cs="Times New Roman"/>
          <w:color w:val="auto"/>
          <w:sz w:val="28"/>
          <w:szCs w:val="28"/>
        </w:rPr>
        <w:t xml:space="preserve">Quốc phòng, an ninh, trật tự an toàn xã hội được giữ vững; duy trì nghiêm chế độ trực sẵn sàng chiến đấu, chủ động phòng, chống thiên tai, cháy rừng, tìm kiếm cứu nạn. Trong tháng </w:t>
      </w:r>
      <w:r>
        <w:rPr>
          <w:rStyle w:val="27"/>
          <w:rFonts w:hint="default" w:ascii="Times New Roman" w:hAnsi="Times New Roman" w:cs="Times New Roman"/>
          <w:b w:val="0"/>
          <w:bCs w:val="0"/>
          <w:color w:val="auto"/>
          <w:sz w:val="28"/>
          <w:szCs w:val="28"/>
        </w:rPr>
        <w:t>không xảy ra vụ án hình sự, không xảy ra tai nạn giao thông</w:t>
      </w:r>
      <w:r>
        <w:rPr>
          <w:rFonts w:hint="default" w:ascii="Times New Roman" w:hAnsi="Times New Roman" w:cs="Times New Roman"/>
          <w:b w:val="0"/>
          <w:bCs w:val="0"/>
          <w:color w:val="auto"/>
          <w:sz w:val="28"/>
          <w:szCs w:val="28"/>
        </w:rPr>
        <w:t xml:space="preserve">, </w:t>
      </w:r>
      <w:r>
        <w:rPr>
          <w:rFonts w:hint="default" w:ascii="Times New Roman" w:hAnsi="Times New Roman" w:cs="Times New Roman"/>
          <w:color w:val="auto"/>
          <w:sz w:val="28"/>
          <w:szCs w:val="28"/>
        </w:rPr>
        <w:t>quản lý</w:t>
      </w:r>
      <w:r>
        <w:rPr>
          <w:rFonts w:hint="default" w:ascii="Times New Roman" w:hAnsi="Times New Roman" w:cs="Times New Roman"/>
          <w:b w:val="0"/>
          <w:bCs w:val="0"/>
          <w:color w:val="auto"/>
          <w:sz w:val="28"/>
          <w:szCs w:val="28"/>
        </w:rPr>
        <w:t xml:space="preserve"> </w:t>
      </w:r>
      <w:r>
        <w:rPr>
          <w:rStyle w:val="27"/>
          <w:rFonts w:hint="default" w:ascii="Times New Roman" w:hAnsi="Times New Roman" w:cs="Times New Roman"/>
          <w:b w:val="0"/>
          <w:bCs w:val="0"/>
          <w:color w:val="auto"/>
          <w:sz w:val="28"/>
          <w:szCs w:val="28"/>
        </w:rPr>
        <w:t>21 đối tượng</w:t>
      </w:r>
      <w:r>
        <w:rPr>
          <w:rFonts w:hint="default" w:ascii="Times New Roman" w:hAnsi="Times New Roman" w:cs="Times New Roman"/>
          <w:color w:val="auto"/>
          <w:sz w:val="28"/>
          <w:szCs w:val="28"/>
        </w:rPr>
        <w:t xml:space="preserve"> theo quy định, góp phần giữ vững ổn định địa bàn. Công tác tiếp công dân, giải quyết đơn thư được quan tâm, </w:t>
      </w:r>
      <w:r>
        <w:rPr>
          <w:rStyle w:val="27"/>
          <w:rFonts w:hint="default" w:ascii="Times New Roman" w:hAnsi="Times New Roman" w:cs="Times New Roman"/>
          <w:b w:val="0"/>
          <w:bCs w:val="0"/>
          <w:color w:val="auto"/>
          <w:sz w:val="28"/>
          <w:szCs w:val="28"/>
        </w:rPr>
        <w:t>tỷ lệ giải quyết đơn thư đúng hạn đạt 100%</w:t>
      </w:r>
      <w:r>
        <w:rPr>
          <w:rFonts w:hint="default" w:ascii="Times New Roman" w:hAnsi="Times New Roman" w:cs="Times New Roman"/>
          <w:b w:val="0"/>
          <w:bCs w:val="0"/>
          <w:color w:val="auto"/>
          <w:sz w:val="28"/>
          <w:szCs w:val="28"/>
        </w:rPr>
        <w:t>.</w:t>
      </w:r>
    </w:p>
    <w:p w14:paraId="0372EEAD">
      <w:pPr>
        <w:pStyle w:val="25"/>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ind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Công tác xây dựng Đảng và hệ thống chính trị tiếp tục được tăng cường. Đảng bộ hiện có </w:t>
      </w:r>
      <w:r>
        <w:rPr>
          <w:rStyle w:val="27"/>
          <w:rFonts w:hint="default" w:ascii="Times New Roman" w:hAnsi="Times New Roman" w:cs="Times New Roman"/>
          <w:b w:val="0"/>
          <w:bCs w:val="0"/>
          <w:color w:val="auto"/>
          <w:sz w:val="28"/>
          <w:szCs w:val="28"/>
        </w:rPr>
        <w:t>27 chi bộ trực thuộc, 744 đảng viên</w:t>
      </w:r>
      <w:r>
        <w:rPr>
          <w:rFonts w:hint="default" w:ascii="Times New Roman" w:hAnsi="Times New Roman" w:cs="Times New Roman"/>
          <w:color w:val="auto"/>
          <w:sz w:val="28"/>
          <w:szCs w:val="28"/>
        </w:rPr>
        <w:t xml:space="preserve">; trong tháng thực hiện thẩm tra tiêu chuẩn chính trị đối với </w:t>
      </w:r>
      <w:r>
        <w:rPr>
          <w:rStyle w:val="27"/>
          <w:rFonts w:hint="default" w:ascii="Times New Roman" w:hAnsi="Times New Roman" w:cs="Times New Roman"/>
          <w:b w:val="0"/>
          <w:bCs w:val="0"/>
          <w:color w:val="auto"/>
          <w:sz w:val="28"/>
          <w:szCs w:val="28"/>
        </w:rPr>
        <w:t>05 quần chúng</w:t>
      </w:r>
      <w:r>
        <w:rPr>
          <w:rFonts w:hint="default" w:ascii="Times New Roman" w:hAnsi="Times New Roman" w:cs="Times New Roman"/>
          <w:color w:val="auto"/>
          <w:sz w:val="28"/>
          <w:szCs w:val="28"/>
        </w:rPr>
        <w:t xml:space="preserve"> đề nghị kết nạp Đảng; thực hiện </w:t>
      </w:r>
      <w:r>
        <w:rPr>
          <w:rStyle w:val="27"/>
          <w:rFonts w:hint="default" w:ascii="Times New Roman" w:hAnsi="Times New Roman" w:cs="Times New Roman"/>
          <w:b w:val="0"/>
          <w:bCs w:val="0"/>
          <w:color w:val="auto"/>
          <w:sz w:val="28"/>
          <w:szCs w:val="28"/>
        </w:rPr>
        <w:t>01 cuộc giám sát chuyên đề đối với 01 tổ chức đảng và 01 đảng viên</w:t>
      </w:r>
      <w:r>
        <w:rPr>
          <w:rFonts w:hint="default" w:ascii="Times New Roman" w:hAnsi="Times New Roman" w:cs="Times New Roman"/>
          <w:color w:val="auto"/>
          <w:sz w:val="28"/>
          <w:szCs w:val="28"/>
        </w:rPr>
        <w:t xml:space="preserve">. Các chi bộ duy trì nền nếp sinh hoạt, công tác quản lý, giáo dục đảng viên và ứng dụng Sổ tay điện tử đảng viên được quan tâm. Việc thực hiện </w:t>
      </w:r>
      <w:r>
        <w:rPr>
          <w:rStyle w:val="27"/>
          <w:rFonts w:hint="default" w:ascii="Times New Roman" w:hAnsi="Times New Roman" w:cs="Times New Roman"/>
          <w:b w:val="0"/>
          <w:bCs w:val="0"/>
          <w:color w:val="auto"/>
          <w:sz w:val="28"/>
          <w:szCs w:val="28"/>
        </w:rPr>
        <w:t>Nghị quyết số 10-NQ/ĐU</w:t>
      </w:r>
      <w:r>
        <w:rPr>
          <w:rFonts w:hint="default" w:ascii="Times New Roman" w:hAnsi="Times New Roman" w:cs="Times New Roman"/>
          <w:b w:val="0"/>
          <w:bCs w:val="0"/>
          <w:color w:val="auto"/>
          <w:sz w:val="28"/>
          <w:szCs w:val="28"/>
        </w:rPr>
        <w:t xml:space="preserve"> </w:t>
      </w:r>
      <w:r>
        <w:rPr>
          <w:rFonts w:hint="default" w:ascii="Times New Roman" w:hAnsi="Times New Roman" w:cs="Times New Roman"/>
          <w:color w:val="auto"/>
          <w:sz w:val="28"/>
          <w:szCs w:val="28"/>
        </w:rPr>
        <w:t>cơ bản bảo đảm tiến độ; một số chỉ tiêu đạt cao như diện tích lúa, ngô đạt 100% kế hoạch, sản phẩm OCOP đạt 100%, thu ngân sách vượt kế hoạch, tạo cơ sở để tiếp tục phấn đấu hoàn thành các mục tiêu, nhiệm vụ năm 2026.</w:t>
      </w:r>
    </w:p>
    <w:p w14:paraId="65C4C444">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2. Tồn tại, hạn chế</w:t>
      </w:r>
    </w:p>
    <w:p w14:paraId="13B30B2A">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Bên cạnh những kết quả đạt được, công tác lãnh đạo, chỉ đạo và tổ chức thực hiện nhiệm vụ trong tháng còn một số tồn tại, hạn chế: Tiến độ thực hiện một số nhiệm vụ chưa đồng đều; một số công trình, dự án đầu tư công còn vướng mắc về thủ tục, mặt bằng, khối lượng thực hiện, dẫn đến tiến độ giải ngân chưa đạt yêu cầu. </w:t>
      </w: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rPr>
        <w:t xml:space="preserve">Công tác rà soát, hoàn thiện hồ sơ địa chính tuy có chuyển biến tích cực nhưng vẫn còn </w:t>
      </w:r>
      <w:r>
        <w:rPr>
          <w:rStyle w:val="27"/>
          <w:rFonts w:hint="default" w:ascii="Times New Roman" w:hAnsi="Times New Roman" w:cs="Times New Roman"/>
          <w:b w:val="0"/>
          <w:bCs w:val="0"/>
          <w:color w:val="auto"/>
          <w:sz w:val="28"/>
          <w:szCs w:val="28"/>
        </w:rPr>
        <w:t>3.055 thửa đất</w:t>
      </w:r>
      <w:r>
        <w:rPr>
          <w:rFonts w:hint="default" w:ascii="Times New Roman" w:hAnsi="Times New Roman" w:cs="Times New Roman"/>
          <w:color w:val="auto"/>
          <w:sz w:val="28"/>
          <w:szCs w:val="28"/>
        </w:rPr>
        <w:t xml:space="preserve"> cần tiếp tục bổ sung, hoàn thiện thông tin.</w:t>
      </w:r>
    </w:p>
    <w:p w14:paraId="3C01A3E6">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Một số chỉ tiêu thực hiện Nghị quyết số 10-NQ/ĐU còn đạt thấp, nhất là </w:t>
      </w:r>
      <w:r>
        <w:rPr>
          <w:rStyle w:val="27"/>
          <w:rFonts w:hint="default" w:ascii="Times New Roman" w:hAnsi="Times New Roman" w:cs="Times New Roman"/>
          <w:b w:val="0"/>
          <w:bCs w:val="0"/>
          <w:color w:val="auto"/>
          <w:sz w:val="28"/>
          <w:szCs w:val="28"/>
        </w:rPr>
        <w:t>trồng rừng tập trung, cây dược liệu, giải quyết việc làm, tham gia BHXH, phát triển đảng viên và thành lập mới hợp tác xã, tổ hợp tác</w:t>
      </w:r>
      <w:r>
        <w:rPr>
          <w:rFonts w:hint="default" w:ascii="Times New Roman" w:hAnsi="Times New Roman" w:cs="Times New Roman"/>
          <w:b w:val="0"/>
          <w:bCs w:val="0"/>
          <w:color w:val="auto"/>
          <w:sz w:val="28"/>
          <w:szCs w:val="28"/>
        </w:rPr>
        <w:t>. C</w:t>
      </w:r>
      <w:r>
        <w:rPr>
          <w:rFonts w:hint="default" w:ascii="Times New Roman" w:hAnsi="Times New Roman" w:cs="Times New Roman"/>
          <w:color w:val="auto"/>
          <w:sz w:val="28"/>
          <w:szCs w:val="28"/>
        </w:rPr>
        <w:t>ông tác tạo nguồn, phát triển đảng viên ở một số chi bộ còn khó khăn; chất lượng sinh hoạt chi bộ giữa các đơn vị chưa thật đồng đều.</w:t>
      </w:r>
    </w:p>
    <w:p w14:paraId="3A4C17F3">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Công tác phối hợp, đôn đốc thực hiện một số nhiệm vụ có thời điểm chưa thật quyết liệt; việc cập nhật, tổng hợp số liệu ở một số lĩnh vực còn chưa kịp thời, cần tiếp tục nâng cao chất lượng tham mưu, theo dõi và báo cáo.</w:t>
      </w:r>
    </w:p>
    <w:p w14:paraId="2C292BBC">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3. Nguyên nhân</w:t>
      </w:r>
    </w:p>
    <w:p w14:paraId="02BCD759">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b w:val="0"/>
          <w:bCs w:val="0"/>
          <w:i/>
          <w:iCs/>
          <w:color w:val="auto"/>
          <w:sz w:val="28"/>
          <w:szCs w:val="28"/>
        </w:rPr>
      </w:pPr>
      <w:r>
        <w:rPr>
          <w:rStyle w:val="27"/>
          <w:rFonts w:hint="default" w:ascii="Times New Roman" w:hAnsi="Times New Roman" w:cs="Times New Roman"/>
          <w:b w:val="0"/>
          <w:bCs w:val="0"/>
          <w:i/>
          <w:iCs/>
          <w:color w:val="auto"/>
          <w:sz w:val="28"/>
          <w:szCs w:val="28"/>
        </w:rPr>
        <w:t>a) Nguyên nhân chủ quan</w:t>
      </w:r>
    </w:p>
    <w:p w14:paraId="2EB2F3B3">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Công tác lãnh đạo, chỉ đạo, kiểm tra, đôn đốc ở một số lĩnh vực có thời điểm chưa thật sự quyết liệt; việc phân công, theo dõi tiến độ và tham mưu xử lý một số nhiệm vụ còn chưa kịp thời. Sự phối hợp giữa một số cơ quan, đơn vị trong tổ chức thực hiện nhiệm vụ có lúc chưa chặt chẽ; việc chủ động tham mưu, đề xuất giải pháp tháo gỡ khó khăn đối với một số nhiệm vụ còn hạn chế. Công tác tuyên truyền, vận động Nhân dân ở một số nội dung chưa thật sự sâu sát; việc cập nhật, tổng hợp số liệu phục vụ công tác lãnh đạo, chỉ đạo và báo cáo có thời điểm chưa kịp thời. Công tác tạo nguồn, phát triển đảng viên và phát triển các mô hình kinh tế tập thể ở một số chi bộ còn thiếu giải pháp phù hợp, chưa tạo được chuyển biến rõ nét.</w:t>
      </w:r>
    </w:p>
    <w:p w14:paraId="25E93034">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b w:val="0"/>
          <w:bCs w:val="0"/>
          <w:i/>
          <w:iCs/>
          <w:color w:val="auto"/>
          <w:sz w:val="28"/>
          <w:szCs w:val="28"/>
        </w:rPr>
      </w:pPr>
      <w:r>
        <w:rPr>
          <w:rStyle w:val="27"/>
          <w:rFonts w:hint="default" w:ascii="Times New Roman" w:hAnsi="Times New Roman" w:cs="Times New Roman"/>
          <w:b w:val="0"/>
          <w:bCs w:val="0"/>
          <w:i/>
          <w:iCs/>
          <w:color w:val="auto"/>
          <w:sz w:val="28"/>
          <w:szCs w:val="28"/>
        </w:rPr>
        <w:t>b) Nguyên nhân khách quan</w:t>
      </w:r>
    </w:p>
    <w:p w14:paraId="5B6A3EC1">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Địa bàn xã rộng, địa hình phức tạp, dân cư phân tán, điều kiện kinh tế - xã hội còn khó khăn, quy mô sản xuất nhỏ lẻ, ảnh hưởng đến việc tổ chức thực hiện một số nhiệm vụ phát triển kinh tế - xã hội. Thời tiết, thiên tai diễn biến khó lường, tác động đến sản xuất nông, lâm nghiệp và đời sống Nhân dân. Một số công trình, dự án còn phụ thuộc vào quy trình, thủ tục đầu tư, nguồn vốn, hồ sơ pháp lý và khối lượng thực hiện nên tiến độ giải ngân chưa đạt yêu cầu.</w:t>
      </w:r>
    </w:p>
    <w:p w14:paraId="6254A5FC">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Việc rà soát, chuẩn hóa dữ liệu đất đai có khối lượng lớn, thông tin hồ sơ lịch sử còn thiếu, chưa đồng bộ, một số trường hợp cần xác minh, bổ sung nhiều lần. Nguồn phát triển đảng viên tại một số địa bàn còn hạn chế do lực lượng lao động trẻ đi làm ăn xa; việc thành lập mới hợp tác xã, tổ hợp tác gặp khó khăn do năng lực sản xuất, liên kết và nguồn lực đầu tư của người dân còn hạn chế.</w:t>
      </w:r>
    </w:p>
    <w:p w14:paraId="742613C2">
      <w:pPr>
        <w:keepNext w:val="0"/>
        <w:keepLines w:val="0"/>
        <w:pageBreakBefore w:val="0"/>
        <w:kinsoku/>
        <w:wordWrap/>
        <w:overflowPunct/>
        <w:topLinePunct w:val="0"/>
        <w:autoSpaceDE/>
        <w:autoSpaceDN/>
        <w:bidi w:val="0"/>
        <w:adjustRightInd/>
        <w:snapToGrid/>
        <w:ind w:firstLine="720"/>
        <w:textAlignment w:val="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 xml:space="preserve">IV. NHIỆM VỤ TRỌNG TÂM THÁNG </w:t>
      </w:r>
      <w:r>
        <w:rPr>
          <w:rFonts w:hint="default" w:ascii="Times New Roman" w:hAnsi="Times New Roman" w:cs="Times New Roman"/>
          <w:b/>
          <w:color w:val="auto"/>
          <w:sz w:val="28"/>
          <w:szCs w:val="28"/>
          <w:lang w:val="en-US"/>
        </w:rPr>
        <w:t>9</w:t>
      </w:r>
      <w:r>
        <w:rPr>
          <w:rFonts w:hint="default" w:ascii="Times New Roman" w:hAnsi="Times New Roman" w:cs="Times New Roman"/>
          <w:b/>
          <w:color w:val="auto"/>
          <w:sz w:val="28"/>
          <w:szCs w:val="28"/>
        </w:rPr>
        <w:t xml:space="preserve"> NĂM 2026</w:t>
      </w:r>
    </w:p>
    <w:p w14:paraId="2FD58567">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Style w:val="27"/>
          <w:rFonts w:hint="default" w:ascii="Times New Roman" w:hAnsi="Times New Roman" w:cs="Times New Roman"/>
          <w:color w:val="auto"/>
          <w:sz w:val="28"/>
          <w:szCs w:val="28"/>
        </w:rPr>
        <w:t>1. Phát triển kinh tế</w:t>
      </w:r>
    </w:p>
    <w:p w14:paraId="59D50A32">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Tiếp tục lãnh đạo, chỉ đạo thực hiện đồng bộ các nhiệm vụ phát triển kinh tế; tập trung chăm sóc, thu hoạch và bảo vệ sản xuất vụ mùa, chủ động phòng, chống dịch bệnh trên cây trồng, vật nuôi; tăng cường công tác phòng, chống thiên tai, tìm kiếm cứu nạn, bảo vệ và phát triển rừng, phòng cháy, chữa cháy rừng.</w:t>
      </w:r>
    </w:p>
    <w:p w14:paraId="7467BDB6">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Tập trung tháo gỡ khó khăn, đẩy nhanh tiến độ thực hiện, nghiệm thu và giải ngân vốn đầu tư công; rà soát cụ thể từng công trình, dự án, xác định rõ nguyên nhân, trách nhiệm và thời hạn hoàn thành đối với các công trình chậm tiến độ, không để phát sinh vốn tồn đọng, kéo dài. Tăng cường quản lý đất đai, tài nguyên, môi trường; đẩy nhanh hoàn thành Chiến dịch 120 ngày đo đạc, lập hồ sơ địa chính và hoàn thiện cơ sở dữ liệu đất đai, phấn đấu hoàn thành các nội dung còn lại theo kế hoạch.</w:t>
      </w:r>
    </w:p>
    <w:p w14:paraId="7213C736">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Tăng cường quản lý thu, chi ngân sách, chống thất thu, bảo đảm thu đúng, thu đủ, chi tiết kiệm, hiệu quả; tiếp tục phát triển thương mại, dịch vụ, du lịch, khai thác hợp lý tiềm năng, lợi thế của địa phương; quan tâm hỗ trợ phát triển sản phẩm OCOP, kinh tế hộ, hợp tác xã, tổ hợp tác và các mô hình sản xuất có hiệu quả.</w:t>
      </w:r>
    </w:p>
    <w:p w14:paraId="6361D40B">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Style w:val="27"/>
          <w:rFonts w:hint="default" w:ascii="Times New Roman" w:hAnsi="Times New Roman" w:cs="Times New Roman"/>
          <w:color w:val="auto"/>
          <w:sz w:val="28"/>
          <w:szCs w:val="28"/>
        </w:rPr>
        <w:t>2. Văn hóa - xã hội</w:t>
      </w:r>
    </w:p>
    <w:p w14:paraId="5E25244D">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Tập trung lãnh đạo, chỉ đạo thực hiện tốt nhiệm vụ năm học 2026 - 2027; bảo đảm các điều kiện về đội ngũ, cơ sở vật chất, thiết bị dạy học; duy trì và nâng cao chất lượng giáo dục, phổ cập giáo dục, trường học đạt chuẩn quốc gia. Thực hiện tốt các chính sách hỗ trợ học sinh, nhất là học sinh thuộc hộ nghèo, hộ cận nghèo và các đối tượng chính sách.</w:t>
      </w:r>
    </w:p>
    <w:p w14:paraId="6D99D9F4">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Tiếp tục nâng cao chất lượng khám, chữa bệnh, chăm sóc sức khỏe ban đầu cho Nhân dân; chủ động phòng, chống dịch bệnh, bảo đảm vệ sinh an toàn thực phẩm. Thực hiện đầy đủ, kịp thời các chính sách an sinh xã hội, người có công, bảo trợ xã hội; tập trung các giải pháp giảm nghèo bền vững, giải quyết việc làm, đào tạo nghề, nâng tỷ lệ tham gia bảo hiểm xã hội.</w:t>
      </w:r>
    </w:p>
    <w:p w14:paraId="78A24433">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Đẩy mạnh các hoạt động văn hóa, thể thao, thông tin, tuyên truyền; bảo tồn, phát huy giá trị văn hóa truyền thống, di tích lịch sử gắn với phát triển du lịch. Tiếp tục thực hiện các nhiệm vụ chuyển đổi số, cải cách hành chính, nâng cao chất lượng phục vụ Nhân dân và hiệu quả giải quyết thủ tục hành chính trên môi trường điện tử.</w:t>
      </w:r>
    </w:p>
    <w:p w14:paraId="3C444A00">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Style w:val="27"/>
          <w:rFonts w:hint="default" w:ascii="Times New Roman" w:hAnsi="Times New Roman" w:cs="Times New Roman"/>
          <w:color w:val="auto"/>
          <w:sz w:val="28"/>
          <w:szCs w:val="28"/>
        </w:rPr>
        <w:t>3. Quốc phòng - an ninh</w:t>
      </w:r>
    </w:p>
    <w:p w14:paraId="10E6F43B">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Tiếp tục lãnh đạo, chỉ đạo thực hiện nghiêm nhiệm vụ quốc phòng, quân sự địa phương; duy trì chế độ trực sẵn sàng chiến đấu, chủ động nắm chắc tình hình, quản lý địa bàn, đối tượng, không để bị động, bất ngờ. Tập trung chuẩn bị và tổ chức thực hiện tốt các nội dung phục vụ diễn tập phòng thủ dân sự, ứng phó cháy rừng - tìm kiếm cứu nạn năm 2026; chủ động phương án phòng, chống thiên tai, cháy rừng và cứu hộ, cứu nạn.</w:t>
      </w:r>
    </w:p>
    <w:p w14:paraId="3246F38E">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Tăng cường các biện pháp bảo đảm an ninh chính trị, trật tự, an toàn xã hội; chủ động phòng ngừa, đấu tranh với các loại tội phạm, tệ nạn xã hội và ma túy; tiếp tục thực hiện hiệu quả mục tiêu xây dựng địa bàn</w:t>
      </w:r>
      <w:r>
        <w:rPr>
          <w:rFonts w:hint="default" w:ascii="Times New Roman" w:hAnsi="Times New Roman" w:cs="Times New Roman"/>
          <w:b w:val="0"/>
          <w:bCs w:val="0"/>
          <w:i/>
          <w:iCs/>
          <w:color w:val="auto"/>
          <w:sz w:val="28"/>
          <w:szCs w:val="28"/>
        </w:rPr>
        <w:t xml:space="preserve"> </w:t>
      </w:r>
      <w:r>
        <w:rPr>
          <w:rStyle w:val="27"/>
          <w:rFonts w:hint="default" w:ascii="Times New Roman" w:hAnsi="Times New Roman" w:cs="Times New Roman"/>
          <w:b w:val="0"/>
          <w:bCs w:val="0"/>
          <w:i/>
          <w:iCs/>
          <w:color w:val="auto"/>
          <w:sz w:val="28"/>
          <w:szCs w:val="28"/>
        </w:rPr>
        <w:t>“xã Lùng Phình không ma túy”</w:t>
      </w:r>
      <w:r>
        <w:rPr>
          <w:rFonts w:hint="default" w:ascii="Times New Roman" w:hAnsi="Times New Roman" w:cs="Times New Roman"/>
          <w:color w:val="auto"/>
          <w:sz w:val="28"/>
          <w:szCs w:val="28"/>
        </w:rPr>
        <w:t>. Đẩy mạnh phong trào “Toàn dân bảo vệ an ninh Tổ quốc”, bảo đảm trật tự an toàn giao thông, phòng cháy, chữa cháy và cứu nạn, cứu hộ.</w:t>
      </w:r>
    </w:p>
    <w:p w14:paraId="0828604D">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Thực hiện nghiêm công tác tiếp công dân, giải quyết khiếu nại, tố cáo, kiến nghị, phản ánh; tăng cường đối thoại, hòa giải tại cơ sở, chủ động giải quyết các vụ việc ngay từ khi mới phát sinh, không để hình thành điểm nóng, khiếu kiện đông người, vượt cấp, kéo dài. Tiếp tục thực hiện nghiêm các quy định về phòng, chống tham nhũng, lãng phí, tiêu cực và cải cách tư pháp.</w:t>
      </w:r>
    </w:p>
    <w:p w14:paraId="6AF5162A">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Style w:val="27"/>
          <w:rFonts w:hint="default" w:ascii="Times New Roman" w:hAnsi="Times New Roman" w:cs="Times New Roman"/>
          <w:color w:val="auto"/>
          <w:sz w:val="28"/>
          <w:szCs w:val="28"/>
        </w:rPr>
        <w:t>4. Hoạt động của HĐND, UBND, MTTQ và các tổ chức chính trị - xã hội</w:t>
      </w:r>
    </w:p>
    <w:p w14:paraId="4D7345EB">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Lãnh đạo HĐND xã tiếp tục nâng cao chất lượng hoạt động giám sát, khảo sát, tiếp xúc cử tri, tiếp công dân; theo dõi, đôn đốc việc giải quyết ý kiến, kiến nghị của cử tri và thực hiện các nghị quyết của HĐND xã; tăng cường giám sát việc thực hiện các nhiệm vụ phát triển kinh tế - xã hội và các chương trình, dự án trên địa bàn.</w:t>
      </w:r>
    </w:p>
    <w:p w14:paraId="63AD1306">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Lãnh đạo UBND xã tập trung chỉ đạo, điều hành thực hiện các nhiệm vụ tháng 9 và quý III năm 2026; tăng cường kỷ luật, kỷ cương hành chính, nâng cao trách nhiệm người đứng đầu; tập trung giải quyết những nhiệm vụ còn chậm, nhất là giải ngân vốn đầu tư công, quản lý đất đai, hoàn thiện hồ sơ địa chính, thu ngân sách và các chỉ tiêu Nghị quyết số 10-NQ/ĐU còn đạt thấp.</w:t>
      </w:r>
    </w:p>
    <w:p w14:paraId="54EB2057">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Lãnh đạo Ủy ban MTTQ Việt Nam xã và các tổ chức chính trị - xã hội tiếp tục đổi mới nội dung, phương thức hoạt động; tăng cường tuyên truyền, vận động đoàn viên, hội viên và Nhân dân thực hiện chủ trương của Đảng, chính sách, pháp luật của Nhà nước; chủ động nắm tình hình Nhân dân, phát huy vai trò giám sát, phản biện xã hội, tham gia xây dựng Đảng, xây dựng chính quyền; tích cực vận động Nhân dân tham gia phát triển kinh tế, giảm nghèo, bảo vệ môi trường, phòng, chống ma túy và xây dựng nông thôn mới.</w:t>
      </w:r>
    </w:p>
    <w:p w14:paraId="4570B0E5">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Style w:val="27"/>
          <w:rFonts w:hint="default" w:ascii="Times New Roman" w:hAnsi="Times New Roman" w:cs="Times New Roman"/>
          <w:color w:val="auto"/>
          <w:sz w:val="28"/>
          <w:szCs w:val="28"/>
        </w:rPr>
        <w:t>5. Công tác xây dựng Đảng và hệ thống chính trị</w:t>
      </w:r>
    </w:p>
    <w:p w14:paraId="57AB76D0">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Tiếp tục lãnh đạo, chỉ đạo thực hiện tốt công tác chính trị, tư tưởng; tổ chức quán triệt, tuyên truyền, triển khai kịp thời các nghị quyết, chỉ thị, kết luận, quy định của Trung ương, Tỉnh ủy và Đảng ủy. Chủ động nắm tình hình tư tưởng, dư luận xã hội; tăng cường tuyên truyền, định hướng thông tin, tạo sự thống nhất trong Đảng và đồng thuận trong Nhân dân.</w:t>
      </w:r>
    </w:p>
    <w:p w14:paraId="7062D3E6">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Tập trung củng cố, kiện toàn tổ chức cơ sở đảng, nâng cao chất lượng sinh hoạt chi bộ; tăng cường quản lý, giáo dục đảng viên, thực hiện nghiêm nguyên tắc tổ chức và sinh hoạt Đảng. Quan tâm tạo nguồn, bồi dưỡng quần chúng ưu tú, phấn đấu hoàn thành chỉ tiêu kết nạp đảng viên; tiếp tục thực hiện tốt công tác bảo vệ chính trị nội bộ, quản lý cán bộ, đảng viên và chế độ, chính sách đối với cán bộ.</w:t>
      </w:r>
    </w:p>
    <w:p w14:paraId="327DA4C7">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Tăng cường kiểm tra, giám sát việc thực hiện nghị quyết, chỉ thị, kết luận của Đảng và các nhiệm vụ được giao; tập trung vào những lĩnh vực dễ phát sinh sai phạm, những nhiệm vụ còn chậm tiến độ và các chỉ tiêu đạt thấp. Chủ động kiểm tra, giám sát, nắm tình hình tổ chức đảng, đảng viên; thực hiện nghiêm công tác tiếp nhận, xử lý đơn thư và thi hành kỷ luật Đảng khi có vi phạm.</w:t>
      </w:r>
    </w:p>
    <w:p w14:paraId="052C6AFC">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Tiếp tục nâng cao chất lượng công tác tuyên giáo, dân vận, tuyên vận; phát huy vai trò của các tổ chức chính trị - xã hội trong tuyên truyền, vận động Nhân dân. Đẩy mạnh ứng dụng công nghệ thông tin, chuyển đổi số trong công tác Đảng; thực hiện nghiêm việc cập nhật dữ liệu, sử dụng Sổ tay điện tử đảng viên và các nền tảng số phục vụ công tác lãnh đạo, chỉ đạo.</w:t>
      </w:r>
    </w:p>
    <w:p w14:paraId="7E86853D">
      <w:pPr>
        <w:pStyle w:val="25"/>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720"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Tập trung lãnh đạo thực hiện các chỉ tiêu còn đạt thấp của Nghị quyết số 10-NQ/ĐU;</w:t>
      </w:r>
      <w:r>
        <w:rPr>
          <w:rFonts w:hint="default" w:ascii="Times New Roman" w:hAnsi="Times New Roman" w:cs="Times New Roman"/>
          <w:b w:val="0"/>
          <w:bCs w:val="0"/>
          <w:color w:val="auto"/>
          <w:sz w:val="28"/>
          <w:szCs w:val="28"/>
        </w:rPr>
        <w:t xml:space="preserve"> </w:t>
      </w:r>
      <w:r>
        <w:rPr>
          <w:rStyle w:val="27"/>
          <w:rFonts w:hint="default" w:ascii="Times New Roman" w:hAnsi="Times New Roman" w:cs="Times New Roman"/>
          <w:b w:val="0"/>
          <w:bCs w:val="0"/>
          <w:color w:val="auto"/>
          <w:sz w:val="28"/>
          <w:szCs w:val="28"/>
        </w:rPr>
        <w:t>xác định rõ từng chỉ tiêu, nhiệm vụ, cơ quan chủ trì, người phụ trách, thời gian hoàn thành và kết quả đầu ra</w:t>
      </w:r>
      <w:r>
        <w:rPr>
          <w:rFonts w:hint="default" w:ascii="Times New Roman" w:hAnsi="Times New Roman" w:cs="Times New Roman"/>
          <w:b w:val="0"/>
          <w:bCs w:val="0"/>
          <w:color w:val="auto"/>
          <w:sz w:val="28"/>
          <w:szCs w:val="28"/>
        </w:rPr>
        <w:t>,</w:t>
      </w:r>
      <w:r>
        <w:rPr>
          <w:rFonts w:hint="default" w:ascii="Times New Roman" w:hAnsi="Times New Roman" w:cs="Times New Roman"/>
          <w:color w:val="auto"/>
          <w:sz w:val="28"/>
          <w:szCs w:val="28"/>
        </w:rPr>
        <w:t xml:space="preserve"> tăng cường kiểm tra, đôn đốc, phấn đấu hoàn thành cao nhất các mục tiêu, nhiệm vụ năm 2026.</w:t>
      </w:r>
    </w:p>
    <w:p w14:paraId="741C8330">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Trên đây là Báo cáo kết quả thực hiện nhiệm vụ tháng </w:t>
      </w:r>
      <w:r>
        <w:rPr>
          <w:rFonts w:hint="default" w:ascii="Times New Roman" w:hAnsi="Times New Roman" w:cs="Times New Roman"/>
          <w:color w:val="auto"/>
          <w:sz w:val="28"/>
          <w:szCs w:val="28"/>
          <w:lang w:val="en-US"/>
        </w:rPr>
        <w:t>8</w:t>
      </w:r>
      <w:r>
        <w:rPr>
          <w:rFonts w:hint="default" w:ascii="Times New Roman" w:hAnsi="Times New Roman" w:cs="Times New Roman"/>
          <w:color w:val="auto"/>
          <w:sz w:val="28"/>
          <w:szCs w:val="28"/>
        </w:rPr>
        <w:t xml:space="preserve"> và triển khai các nhiệm vụ trọng tâm trong tháng </w:t>
      </w:r>
      <w:r>
        <w:rPr>
          <w:rFonts w:hint="default" w:ascii="Times New Roman" w:hAnsi="Times New Roman" w:cs="Times New Roman"/>
          <w:color w:val="auto"/>
          <w:sz w:val="28"/>
          <w:szCs w:val="28"/>
          <w:lang w:val="en-US"/>
        </w:rPr>
        <w:t>9</w:t>
      </w:r>
      <w:r>
        <w:rPr>
          <w:rFonts w:hint="default" w:ascii="Times New Roman" w:hAnsi="Times New Roman" w:cs="Times New Roman"/>
          <w:color w:val="auto"/>
          <w:sz w:val="28"/>
          <w:szCs w:val="28"/>
        </w:rPr>
        <w:t xml:space="preserve"> năm 2026 của Đảng ủy xã Lùng Phình./.</w:t>
      </w:r>
    </w:p>
    <w:p w14:paraId="04E1AF9E">
      <w:pPr>
        <w:keepNext w:val="0"/>
        <w:keepLines w:val="0"/>
        <w:pageBreakBefore w:val="0"/>
        <w:widowControl w:val="0"/>
        <w:kinsoku/>
        <w:wordWrap/>
        <w:overflowPunct/>
        <w:topLinePunct w:val="0"/>
        <w:autoSpaceDE/>
        <w:autoSpaceDN/>
        <w:bidi w:val="0"/>
        <w:adjustRightInd/>
        <w:snapToGrid/>
        <w:ind w:firstLine="720"/>
        <w:jc w:val="both"/>
        <w:textAlignment w:val="auto"/>
        <w:rPr>
          <w:rFonts w:hint="default" w:ascii="Times New Roman" w:hAnsi="Times New Roman" w:cs="Times New Roman"/>
          <w:color w:val="auto"/>
          <w:sz w:val="28"/>
          <w:szCs w:val="28"/>
        </w:rPr>
      </w:pPr>
    </w:p>
    <w:tbl>
      <w:tblPr>
        <w:tblStyle w:val="8"/>
        <w:tblW w:w="0" w:type="auto"/>
        <w:tblInd w:w="108" w:type="dxa"/>
        <w:tblLayout w:type="fixed"/>
        <w:tblCellMar>
          <w:top w:w="0" w:type="dxa"/>
          <w:left w:w="108" w:type="dxa"/>
          <w:bottom w:w="0" w:type="dxa"/>
          <w:right w:w="108" w:type="dxa"/>
        </w:tblCellMar>
      </w:tblPr>
      <w:tblGrid>
        <w:gridCol w:w="4395"/>
        <w:gridCol w:w="4965"/>
      </w:tblGrid>
      <w:tr w14:paraId="441DA611">
        <w:tblPrEx>
          <w:tblCellMar>
            <w:top w:w="0" w:type="dxa"/>
            <w:left w:w="108" w:type="dxa"/>
            <w:bottom w:w="0" w:type="dxa"/>
            <w:right w:w="108" w:type="dxa"/>
          </w:tblCellMar>
        </w:tblPrEx>
        <w:tc>
          <w:tcPr>
            <w:tcW w:w="4395" w:type="dxa"/>
          </w:tcPr>
          <w:p w14:paraId="611AF885">
            <w:pPr>
              <w:keepNext w:val="0"/>
              <w:keepLines w:val="0"/>
              <w:pageBreakBefore w:val="0"/>
              <w:widowControl w:val="0"/>
              <w:suppressAutoHyphens/>
              <w:kinsoku/>
              <w:wordWrap/>
              <w:overflowPunct/>
              <w:topLinePunct w:val="0"/>
              <w:autoSpaceDE/>
              <w:autoSpaceDN/>
              <w:bidi w:val="0"/>
              <w:adjustRightInd/>
              <w:snapToGrid/>
              <w:jc w:val="both"/>
              <w:textAlignment w:val="auto"/>
              <w:rPr>
                <w:rFonts w:hint="default" w:ascii="Times New Roman" w:hAnsi="Times New Roman" w:cs="Times New Roman"/>
                <w:b/>
                <w:color w:val="auto"/>
                <w:sz w:val="28"/>
                <w:szCs w:val="28"/>
                <w:lang w:val="es-ES"/>
              </w:rPr>
            </w:pPr>
            <w:r>
              <w:rPr>
                <w:rFonts w:hint="default" w:ascii="Times New Roman" w:hAnsi="Times New Roman" w:cs="Times New Roman"/>
                <w:color w:val="auto"/>
                <w:sz w:val="28"/>
                <w:szCs w:val="28"/>
                <w:u w:val="single"/>
                <w:lang w:val="es-ES"/>
              </w:rPr>
              <w:t>Nơi nhận</w:t>
            </w:r>
            <w:r>
              <w:rPr>
                <w:rFonts w:hint="default" w:ascii="Times New Roman" w:hAnsi="Times New Roman" w:cs="Times New Roman"/>
                <w:color w:val="auto"/>
                <w:sz w:val="28"/>
                <w:szCs w:val="28"/>
                <w:lang w:val="es-ES"/>
              </w:rPr>
              <w:t>:</w:t>
            </w:r>
            <w:r>
              <w:rPr>
                <w:rFonts w:hint="default" w:ascii="Times New Roman" w:hAnsi="Times New Roman" w:cs="Times New Roman"/>
                <w:b/>
                <w:color w:val="auto"/>
                <w:sz w:val="28"/>
                <w:szCs w:val="28"/>
                <w:lang w:val="es-ES"/>
              </w:rPr>
              <w:t xml:space="preserve">                                                                        </w:t>
            </w:r>
          </w:p>
          <w:p w14:paraId="62BCE207">
            <w:pPr>
              <w:keepNext w:val="0"/>
              <w:keepLines w:val="0"/>
              <w:pageBreakBefore w:val="0"/>
              <w:widowControl w:val="0"/>
              <w:suppressAutoHyphens/>
              <w:kinsoku/>
              <w:wordWrap/>
              <w:overflowPunct/>
              <w:topLinePunct w:val="0"/>
              <w:autoSpaceDE/>
              <w:autoSpaceDN/>
              <w:bidi w:val="0"/>
              <w:adjustRightInd/>
              <w:snapToGrid/>
              <w:jc w:val="both"/>
              <w:textAlignment w:val="auto"/>
              <w:rPr>
                <w:rFonts w:hint="default" w:ascii="Times New Roman" w:hAnsi="Times New Roman" w:cs="Times New Roman"/>
                <w:color w:val="auto"/>
                <w:lang w:val="es-ES"/>
              </w:rPr>
            </w:pPr>
            <w:r>
              <w:rPr>
                <w:rFonts w:hint="default" w:ascii="Times New Roman" w:hAnsi="Times New Roman" w:cs="Times New Roman"/>
                <w:color w:val="auto"/>
                <w:lang w:val="es-ES"/>
              </w:rPr>
              <w:t xml:space="preserve">- Văn phòng Tỉnh ủy;   </w:t>
            </w:r>
          </w:p>
          <w:p w14:paraId="03380CF9">
            <w:pPr>
              <w:keepNext w:val="0"/>
              <w:keepLines w:val="0"/>
              <w:pageBreakBefore w:val="0"/>
              <w:widowControl w:val="0"/>
              <w:suppressAutoHyphens/>
              <w:kinsoku/>
              <w:wordWrap/>
              <w:overflowPunct/>
              <w:topLinePunct w:val="0"/>
              <w:autoSpaceDE/>
              <w:autoSpaceDN/>
              <w:bidi w:val="0"/>
              <w:adjustRightInd/>
              <w:snapToGrid/>
              <w:jc w:val="both"/>
              <w:textAlignment w:val="auto"/>
              <w:rPr>
                <w:rFonts w:hint="default" w:ascii="Times New Roman" w:hAnsi="Times New Roman" w:cs="Times New Roman"/>
                <w:color w:val="auto"/>
                <w:lang w:val="es-ES"/>
              </w:rPr>
            </w:pPr>
            <w:r>
              <w:rPr>
                <w:rFonts w:hint="default" w:ascii="Times New Roman" w:hAnsi="Times New Roman" w:cs="Times New Roman"/>
                <w:color w:val="auto"/>
                <w:lang w:val="es-ES"/>
              </w:rPr>
              <w:t xml:space="preserve">- UBKT Tỉnh ủy;                                                                              </w:t>
            </w:r>
          </w:p>
          <w:p w14:paraId="18566B8D">
            <w:pPr>
              <w:keepNext w:val="0"/>
              <w:keepLines w:val="0"/>
              <w:pageBreakBefore w:val="0"/>
              <w:widowControl w:val="0"/>
              <w:suppressAutoHyphens/>
              <w:kinsoku/>
              <w:wordWrap/>
              <w:overflowPunct/>
              <w:topLinePunct w:val="0"/>
              <w:autoSpaceDE/>
              <w:autoSpaceDN/>
              <w:bidi w:val="0"/>
              <w:adjustRightInd/>
              <w:snapToGrid/>
              <w:jc w:val="both"/>
              <w:textAlignment w:val="auto"/>
              <w:rPr>
                <w:rFonts w:hint="default" w:ascii="Times New Roman" w:hAnsi="Times New Roman" w:cs="Times New Roman"/>
                <w:color w:val="auto"/>
                <w:lang w:val="es-ES"/>
              </w:rPr>
            </w:pPr>
            <w:r>
              <w:rPr>
                <w:rFonts w:hint="default" w:ascii="Times New Roman" w:hAnsi="Times New Roman" w:cs="Times New Roman"/>
                <w:color w:val="auto"/>
                <w:lang w:val="es-ES"/>
              </w:rPr>
              <w:t>- Thường trực ĐU, HĐND, UBND xã;</w:t>
            </w:r>
          </w:p>
          <w:p w14:paraId="4668B174">
            <w:pPr>
              <w:keepNext w:val="0"/>
              <w:keepLines w:val="0"/>
              <w:pageBreakBefore w:val="0"/>
              <w:widowControl w:val="0"/>
              <w:suppressAutoHyphens/>
              <w:kinsoku/>
              <w:wordWrap/>
              <w:overflowPunct/>
              <w:topLinePunct w:val="0"/>
              <w:autoSpaceDE/>
              <w:autoSpaceDN/>
              <w:bidi w:val="0"/>
              <w:adjustRightInd/>
              <w:snapToGrid/>
              <w:jc w:val="both"/>
              <w:textAlignment w:val="auto"/>
              <w:rPr>
                <w:rFonts w:hint="default" w:ascii="Times New Roman" w:hAnsi="Times New Roman" w:cs="Times New Roman"/>
                <w:color w:val="auto"/>
                <w:spacing w:val="-14"/>
                <w:lang w:val="es-ES"/>
              </w:rPr>
            </w:pPr>
            <w:r>
              <w:rPr>
                <w:rFonts w:hint="default" w:ascii="Times New Roman" w:hAnsi="Times New Roman" w:cs="Times New Roman"/>
                <w:color w:val="auto"/>
                <w:lang w:val="es-ES"/>
              </w:rPr>
              <w:t>- Các cơ quan tham mưu, giúp việc ĐU</w:t>
            </w:r>
            <w:r>
              <w:rPr>
                <w:rFonts w:hint="default" w:ascii="Times New Roman" w:hAnsi="Times New Roman" w:cs="Times New Roman"/>
                <w:color w:val="auto"/>
                <w:spacing w:val="-14"/>
                <w:lang w:val="es-ES"/>
              </w:rPr>
              <w:t>;</w:t>
            </w:r>
          </w:p>
          <w:p w14:paraId="396C8695">
            <w:pPr>
              <w:keepNext w:val="0"/>
              <w:keepLines w:val="0"/>
              <w:pageBreakBefore w:val="0"/>
              <w:widowControl w:val="0"/>
              <w:suppressAutoHyphens/>
              <w:kinsoku/>
              <w:wordWrap/>
              <w:overflowPunct/>
              <w:topLinePunct w:val="0"/>
              <w:autoSpaceDE/>
              <w:autoSpaceDN/>
              <w:bidi w:val="0"/>
              <w:adjustRightInd/>
              <w:snapToGrid/>
              <w:jc w:val="both"/>
              <w:textAlignment w:val="auto"/>
              <w:rPr>
                <w:rFonts w:hint="default" w:ascii="Times New Roman" w:hAnsi="Times New Roman" w:cs="Times New Roman"/>
                <w:color w:val="auto"/>
                <w:lang w:val="es-ES"/>
              </w:rPr>
            </w:pPr>
            <w:r>
              <w:rPr>
                <w:rFonts w:hint="default" w:ascii="Times New Roman" w:hAnsi="Times New Roman" w:cs="Times New Roman"/>
                <w:color w:val="auto"/>
                <w:lang w:val="es-ES"/>
              </w:rPr>
              <w:t>- Các Chi bộ trực thuộc Đảng ủy;</w:t>
            </w:r>
          </w:p>
          <w:p w14:paraId="1373DAFF">
            <w:pPr>
              <w:keepNext w:val="0"/>
              <w:keepLines w:val="0"/>
              <w:pageBreakBefore w:val="0"/>
              <w:widowControl w:val="0"/>
              <w:suppressAutoHyphens/>
              <w:kinsoku/>
              <w:wordWrap/>
              <w:overflowPunct/>
              <w:topLinePunct w:val="0"/>
              <w:autoSpaceDE/>
              <w:autoSpaceDN/>
              <w:bidi w:val="0"/>
              <w:adjustRightInd/>
              <w:snapToGrid/>
              <w:jc w:val="both"/>
              <w:textAlignment w:val="auto"/>
              <w:rPr>
                <w:rFonts w:hint="default" w:ascii="Times New Roman" w:hAnsi="Times New Roman" w:cs="Times New Roman"/>
                <w:b/>
                <w:color w:val="auto"/>
                <w:sz w:val="28"/>
                <w:szCs w:val="28"/>
                <w:lang w:val="vi-VN"/>
              </w:rPr>
            </w:pPr>
            <w:r>
              <w:rPr>
                <w:rFonts w:hint="default" w:ascii="Times New Roman" w:hAnsi="Times New Roman" w:cs="Times New Roman"/>
                <w:color w:val="auto"/>
                <w:lang w:val="es-ES"/>
              </w:rPr>
              <w:t xml:space="preserve">- Lưu: VP Đảng ủy.                                                                </w:t>
            </w:r>
          </w:p>
        </w:tc>
        <w:tc>
          <w:tcPr>
            <w:tcW w:w="4965" w:type="dxa"/>
          </w:tcPr>
          <w:p w14:paraId="5EA52C72">
            <w:pPr>
              <w:keepNext w:val="0"/>
              <w:keepLines w:val="0"/>
              <w:pageBreakBefore w:val="0"/>
              <w:widowControl w:val="0"/>
              <w:suppressAutoHyphens/>
              <w:kinsoku/>
              <w:wordWrap/>
              <w:overflowPunct/>
              <w:topLinePunct w:val="0"/>
              <w:autoSpaceDE/>
              <w:autoSpaceDN/>
              <w:bidi w:val="0"/>
              <w:adjustRightInd/>
              <w:snapToGrid/>
              <w:jc w:val="center"/>
              <w:textAlignment w:val="auto"/>
              <w:rPr>
                <w:rFonts w:hint="default" w:ascii="Times New Roman" w:hAnsi="Times New Roman" w:cs="Times New Roman"/>
                <w:b/>
                <w:bCs/>
                <w:color w:val="auto"/>
                <w:sz w:val="28"/>
                <w:szCs w:val="28"/>
                <w:lang w:val="vi-VN"/>
              </w:rPr>
            </w:pPr>
            <w:r>
              <w:rPr>
                <w:rFonts w:hint="default" w:ascii="Times New Roman" w:hAnsi="Times New Roman" w:cs="Times New Roman"/>
                <w:b/>
                <w:bCs/>
                <w:color w:val="auto"/>
                <w:sz w:val="28"/>
                <w:szCs w:val="28"/>
                <w:lang w:val="vi-VN"/>
              </w:rPr>
              <w:t>T/M BAN THƯỜNG VỤ</w:t>
            </w:r>
          </w:p>
          <w:p w14:paraId="7DD234CE">
            <w:pPr>
              <w:keepNext w:val="0"/>
              <w:keepLines w:val="0"/>
              <w:pageBreakBefore w:val="0"/>
              <w:widowControl w:val="0"/>
              <w:suppressAutoHyphens/>
              <w:kinsoku/>
              <w:wordWrap/>
              <w:overflowPunct/>
              <w:topLinePunct w:val="0"/>
              <w:autoSpaceDE/>
              <w:autoSpaceDN/>
              <w:bidi w:val="0"/>
              <w:adjustRightInd/>
              <w:snapToGrid/>
              <w:jc w:val="center"/>
              <w:textAlignment w:val="auto"/>
              <w:rPr>
                <w:rFonts w:hint="default" w:ascii="Times New Roman" w:hAnsi="Times New Roman" w:cs="Times New Roman"/>
                <w:b/>
                <w:color w:val="auto"/>
                <w:sz w:val="28"/>
                <w:szCs w:val="28"/>
                <w:lang w:val="vi-VN"/>
              </w:rPr>
            </w:pPr>
          </w:p>
          <w:p w14:paraId="0440BC60">
            <w:pPr>
              <w:keepNext w:val="0"/>
              <w:keepLines w:val="0"/>
              <w:pageBreakBefore w:val="0"/>
              <w:widowControl w:val="0"/>
              <w:suppressAutoHyphens/>
              <w:kinsoku/>
              <w:wordWrap/>
              <w:overflowPunct/>
              <w:topLinePunct w:val="0"/>
              <w:autoSpaceDE/>
              <w:autoSpaceDN/>
              <w:bidi w:val="0"/>
              <w:adjustRightInd/>
              <w:snapToGrid/>
              <w:textAlignment w:val="auto"/>
              <w:rPr>
                <w:rFonts w:hint="default" w:ascii="Times New Roman" w:hAnsi="Times New Roman" w:cs="Times New Roman"/>
                <w:b/>
                <w:bCs/>
                <w:color w:val="auto"/>
                <w:sz w:val="28"/>
                <w:szCs w:val="28"/>
                <w:lang w:val="vi-VN"/>
              </w:rPr>
            </w:pPr>
          </w:p>
          <w:p w14:paraId="42875F5B">
            <w:pPr>
              <w:keepNext w:val="0"/>
              <w:keepLines w:val="0"/>
              <w:pageBreakBefore w:val="0"/>
              <w:widowControl w:val="0"/>
              <w:suppressAutoHyphens/>
              <w:kinsoku/>
              <w:wordWrap/>
              <w:overflowPunct/>
              <w:topLinePunct w:val="0"/>
              <w:autoSpaceDE/>
              <w:autoSpaceDN/>
              <w:bidi w:val="0"/>
              <w:adjustRightInd/>
              <w:snapToGrid/>
              <w:textAlignment w:val="auto"/>
              <w:rPr>
                <w:rFonts w:hint="default" w:ascii="Times New Roman" w:hAnsi="Times New Roman" w:cs="Times New Roman"/>
                <w:b/>
                <w:bCs/>
                <w:color w:val="auto"/>
                <w:sz w:val="28"/>
                <w:szCs w:val="28"/>
              </w:rPr>
            </w:pPr>
          </w:p>
          <w:p w14:paraId="39AA26BD">
            <w:pPr>
              <w:keepNext w:val="0"/>
              <w:keepLines w:val="0"/>
              <w:pageBreakBefore w:val="0"/>
              <w:widowControl w:val="0"/>
              <w:suppressAutoHyphens/>
              <w:kinsoku/>
              <w:wordWrap/>
              <w:overflowPunct/>
              <w:topLinePunct w:val="0"/>
              <w:autoSpaceDE/>
              <w:autoSpaceDN/>
              <w:bidi w:val="0"/>
              <w:adjustRightInd/>
              <w:snapToGrid/>
              <w:textAlignment w:val="auto"/>
              <w:rPr>
                <w:rFonts w:hint="default" w:ascii="Times New Roman" w:hAnsi="Times New Roman" w:cs="Times New Roman"/>
                <w:b/>
                <w:bCs/>
                <w:color w:val="auto"/>
                <w:sz w:val="28"/>
                <w:szCs w:val="28"/>
              </w:rPr>
            </w:pPr>
          </w:p>
          <w:p w14:paraId="5E61ED8A">
            <w:pPr>
              <w:keepNext w:val="0"/>
              <w:keepLines w:val="0"/>
              <w:pageBreakBefore w:val="0"/>
              <w:widowControl w:val="0"/>
              <w:suppressAutoHyphens/>
              <w:kinsoku/>
              <w:wordWrap/>
              <w:overflowPunct/>
              <w:topLinePunct w:val="0"/>
              <w:autoSpaceDE/>
              <w:autoSpaceDN/>
              <w:bidi w:val="0"/>
              <w:adjustRightInd/>
              <w:snapToGrid/>
              <w:textAlignment w:val="auto"/>
              <w:rPr>
                <w:rFonts w:hint="default" w:ascii="Times New Roman" w:hAnsi="Times New Roman" w:cs="Times New Roman"/>
                <w:b/>
                <w:bCs/>
                <w:color w:val="auto"/>
                <w:sz w:val="28"/>
                <w:szCs w:val="28"/>
                <w:lang w:val="vi-VN"/>
              </w:rPr>
            </w:pPr>
          </w:p>
          <w:p w14:paraId="488C296A">
            <w:pPr>
              <w:keepNext w:val="0"/>
              <w:keepLines w:val="0"/>
              <w:pageBreakBefore w:val="0"/>
              <w:widowControl w:val="0"/>
              <w:suppressAutoHyphens/>
              <w:kinsoku/>
              <w:wordWrap/>
              <w:overflowPunct/>
              <w:topLinePunct w:val="0"/>
              <w:autoSpaceDE/>
              <w:autoSpaceDN/>
              <w:bidi w:val="0"/>
              <w:adjustRightInd/>
              <w:snapToGrid/>
              <w:jc w:val="center"/>
              <w:textAlignment w:val="auto"/>
              <w:rPr>
                <w:rFonts w:hint="default" w:ascii="Times New Roman" w:hAnsi="Times New Roman" w:cs="Times New Roman"/>
                <w:b/>
                <w:bCs/>
                <w:color w:val="auto"/>
                <w:sz w:val="28"/>
                <w:szCs w:val="28"/>
                <w:lang w:val="vi-VN"/>
              </w:rPr>
            </w:pPr>
          </w:p>
        </w:tc>
      </w:tr>
    </w:tbl>
    <w:p w14:paraId="39BE21DD">
      <w:pPr>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 w:val="28"/>
          <w:szCs w:val="28"/>
        </w:rPr>
      </w:pPr>
    </w:p>
    <w:sectPr>
      <w:headerReference r:id="rId4" w:type="default"/>
      <w:headerReference r:id="rId5" w:type="even"/>
      <w:footerReference r:id="rId6" w:type="even"/>
      <w:pgSz w:w="11906" w:h="16838"/>
      <w:pgMar w:top="1134" w:right="851" w:bottom="1134" w:left="1701" w:header="397" w:footer="284" w:gutter="0"/>
      <w:pgNumType w:start="1"/>
      <w:cols w:space="720" w:num="1"/>
      <w:formProt w:val="0"/>
      <w:titlePg/>
      <w:docGrid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Noto Sans Devanagari">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imesNewRomanPS-ItalicMT">
    <w:altName w:val="Times New Roman"/>
    <w:panose1 w:val="00000000000000000000"/>
    <w:charset w:val="01"/>
    <w:family w:val="roman"/>
    <w:pitch w:val="default"/>
    <w:sig w:usb0="00000000" w:usb1="00000000" w:usb2="00000000" w:usb3="00000000" w:csb0="00000000" w:csb1="00000000"/>
  </w:font>
  <w:font w:name="Carlito">
    <w:altName w:val="Calibri"/>
    <w:panose1 w:val="00000000000000000000"/>
    <w:charset w:val="01"/>
    <w:family w:val="roman"/>
    <w:pitch w:val="default"/>
    <w:sig w:usb0="00000000" w:usb1="00000000" w:usb2="00000000" w:usb3="00000000" w:csb0="00000000" w:csb1="00000000"/>
  </w:font>
  <w:font w:name="Noto Sans SC Regular">
    <w:altName w:val="Segoe Print"/>
    <w:panose1 w:val="00000000000000000000"/>
    <w:charset w:val="00"/>
    <w:family w:val="roman"/>
    <w:pitch w:val="default"/>
    <w:sig w:usb0="00000000" w:usb1="00000000" w:usb2="00000000" w:usb3="00000000" w:csb0="00000000" w:csb1="00000000"/>
  </w:font>
  <w:font w:name=".VnArialH">
    <w:panose1 w:val="020B7200000000000000"/>
    <w:charset w:val="00"/>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27CA8">
    <w:pPr>
      <w:pStyle w:val="19"/>
    </w:pPr>
    <w:r>
      <mc:AlternateContent>
        <mc:Choice Requires="wps">
          <w:drawing>
            <wp:anchor distT="0" distB="0" distL="0" distR="0" simplePos="0" relativeHeight="251659264" behindDoc="1"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4" name="Frame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587992AB">
                          <w:pPr>
                            <w:pStyle w:val="19"/>
                            <w:rPr>
                              <w:rStyle w:val="26"/>
                            </w:rPr>
                          </w:pPr>
                          <w:r>
                            <w:rPr>
                              <w:rStyle w:val="26"/>
                            </w:rPr>
                            <w:fldChar w:fldCharType="begin"/>
                          </w:r>
                          <w:r>
                            <w:rPr>
                              <w:rStyle w:val="26"/>
                            </w:rPr>
                            <w:instrText xml:space="preserve"> PAGE </w:instrText>
                          </w:r>
                          <w:r>
                            <w:rPr>
                              <w:rStyle w:val="26"/>
                            </w:rPr>
                            <w:fldChar w:fldCharType="separate"/>
                          </w:r>
                          <w:r>
                            <w:rPr>
                              <w:rStyle w:val="26"/>
                            </w:rPr>
                            <w:t>0</w:t>
                          </w:r>
                          <w:r>
                            <w:rPr>
                              <w:rStyle w:val="26"/>
                            </w:rPr>
                            <w:fldChar w:fldCharType="end"/>
                          </w:r>
                        </w:p>
                      </w:txbxContent>
                    </wps:txbx>
                    <wps:bodyPr lIns="0" tIns="0" rIns="0" bIns="0" anchor="t">
                      <a:spAutoFit/>
                    </wps:bodyPr>
                  </wps:wsp>
                </a:graphicData>
              </a:graphic>
            </wp:anchor>
          </w:drawing>
        </mc:Choice>
        <mc:Fallback>
          <w:pict>
            <v:rect id="Frame3" o:spid="_x0000_s1026" o:spt="1" style="position:absolute;left:0pt;margin-top:0.05pt;height:1.15pt;width:1.15pt;mso-position-horizontal:center;mso-position-horizontal-relative:margin;mso-wrap-distance-bottom:0pt;mso-wrap-distance-left:0pt;mso-wrap-distance-right:0pt;mso-wrap-distance-top:0pt;z-index:-251657216;mso-width-relative:page;mso-height-relative:page;" filled="f" stroked="f" coordsize="21600,21600" o:allowincell="f" o:gfxdata="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8gFRQc4AAAABAQAADwAAAAAA&#10;AAABACAAAAAiAAAAZHJzL2Rvd25yZXYueG1sUEsBAhQAFAAAAAgAh07iQBgj53mrAQAAfwMAAA4A&#10;AAAAAAAAAQAgAAAAHQEAAGRycy9lMm9Eb2MueG1sUEsFBgAAAAAGAAYAWQEAADoFAAAAAA==&#10;">
              <v:fill on="f" focussize="0,0"/>
              <v:stroke on="f" weight="0pt"/>
              <v:imagedata o:title=""/>
              <o:lock v:ext="edit" aspectratio="f"/>
              <v:textbox inset="0mm,0mm,0mm,0mm" style="mso-fit-shape-to-text:t;">
                <w:txbxContent>
                  <w:p w14:paraId="587992AB">
                    <w:pPr>
                      <w:pStyle w:val="19"/>
                      <w:rPr>
                        <w:rStyle w:val="26"/>
                      </w:rPr>
                    </w:pPr>
                    <w:r>
                      <w:rPr>
                        <w:rStyle w:val="26"/>
                      </w:rPr>
                      <w:fldChar w:fldCharType="begin"/>
                    </w:r>
                    <w:r>
                      <w:rPr>
                        <w:rStyle w:val="26"/>
                      </w:rPr>
                      <w:instrText xml:space="preserve"> PAGE </w:instrText>
                    </w:r>
                    <w:r>
                      <w:rPr>
                        <w:rStyle w:val="26"/>
                      </w:rPr>
                      <w:fldChar w:fldCharType="separate"/>
                    </w:r>
                    <w:r>
                      <w:rPr>
                        <w:rStyle w:val="26"/>
                      </w:rPr>
                      <w:t>0</w:t>
                    </w:r>
                    <w:r>
                      <w:rPr>
                        <w:rStyle w:val="26"/>
                      </w:rPr>
                      <w:fldChar w:fldCharType="end"/>
                    </w: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6">
    <w:p>
      <w:r>
        <w:separator/>
      </w:r>
    </w:p>
  </w:footnote>
  <w:footnote w:type="continuationSeparator" w:id="27">
    <w:p>
      <w:r>
        <w:continuationSeparator/>
      </w:r>
    </w:p>
  </w:footnote>
  <w:footnote w:id="0">
    <w:p w14:paraId="4C9AA64C">
      <w:pPr>
        <w:ind w:firstLine="720"/>
        <w:jc w:val="both"/>
        <w:rPr>
          <w:color w:val="auto"/>
          <w:sz w:val="16"/>
          <w:szCs w:val="16"/>
        </w:rPr>
      </w:pPr>
      <w:r>
        <w:rPr>
          <w:rStyle w:val="20"/>
          <w:color w:val="auto"/>
          <w:sz w:val="18"/>
          <w:szCs w:val="18"/>
        </w:rPr>
        <w:footnoteRef/>
      </w:r>
      <w:r>
        <w:rPr>
          <w:color w:val="auto"/>
          <w:sz w:val="18"/>
          <w:szCs w:val="18"/>
        </w:rPr>
        <w:t xml:space="preserve"> </w:t>
      </w:r>
      <w:r>
        <w:rPr>
          <w:color w:val="auto"/>
          <w:sz w:val="16"/>
          <w:szCs w:val="16"/>
        </w:rPr>
        <w:t>Trong tháng 8, Thường trực Đảng ủy đã tổ chức, chủ trì và tham dự 18 hội nghị, cuộc họp, buổi làm việc, tập trung lãnh đạo, chỉ đạo thực hiện các nhiệm vụ chính trị trọng tâm của xã. Nội dung chủ yếu gồm: tổ chức Hội nghị giao ban Thường trực Đảng ủy, HĐND, UBND xã; họp Ban Thường vụ Đảng ủy lần thứ XV; tham dự các hội nghị, tập huấn chuyên sâu về công tác kiểm tra, giám sát, kiểm soát tài sản, thủ tục hành chính của Đảng trên môi trường điện tử; dự Hội nghị trực tuyến toàn quốc triển khai Hội nghị lần thứ ba Ban Chấp hành Trung ương; tham dự, chỉ đạo công tác tuyên vận, nội chính, chuyển đổi số theo Nghị quyết số 57-NQ/TW; dự sinh hoạt chi bộ, khai mạc các lớp bồi dưỡng kiến thức quốc phòng - an ninh đối tượng 4; kiểm tra, nắm tình hình tại thôn, bản.</w:t>
      </w:r>
    </w:p>
    <w:p w14:paraId="63EA8C7F">
      <w:pPr>
        <w:ind w:firstLine="720"/>
        <w:jc w:val="both"/>
        <w:rPr>
          <w:color w:val="auto"/>
          <w:sz w:val="16"/>
          <w:szCs w:val="16"/>
        </w:rPr>
      </w:pPr>
      <w:r>
        <w:rPr>
          <w:color w:val="auto"/>
          <w:sz w:val="16"/>
          <w:szCs w:val="16"/>
        </w:rPr>
        <w:t>Thường trực Đảng ủy đồng thời tập trung lãnh đạo, chỉ đạo tháo gỡ khó khăn, vướng mắc trong triển khai các công trình do Văn phòng HĐND và UBND xã làm chủ đầu tư; làm việc với các phòng chuyên môn về kinh tế, văn hóa - xã hội, Trung tâm dịch vụ tổng hợp xã; cho ý kiến về phương án Quy hoạch chung xã Lùng Phình giai đoạn đến năm 2035, định hướng đến năm 2050; dự Hội nghị tổng kết năm học 2025 - 2026, triển khai nhiệm vụ năm học 2026 - 2027. Qua đó, kịp thời nắm tình hình, định hướng và cho ý kiến xử lý những vấn đề phát sinh, góp phần nâng cao hiệu quả lãnh đạo, chỉ đạo và tổ chức thực hiện nhiệm vụ chính trị trên địa bàn.</w:t>
      </w:r>
    </w:p>
    <w:p w14:paraId="0723E567">
      <w:pPr>
        <w:ind w:right="71" w:firstLine="567"/>
        <w:jc w:val="both"/>
        <w:rPr>
          <w:color w:val="auto"/>
          <w:sz w:val="18"/>
          <w:szCs w:val="18"/>
        </w:rPr>
      </w:pPr>
    </w:p>
  </w:footnote>
  <w:footnote w:id="1">
    <w:p w14:paraId="55E71931">
      <w:pPr>
        <w:ind w:firstLine="720"/>
        <w:jc w:val="both"/>
        <w:rPr>
          <w:color w:val="auto"/>
          <w:sz w:val="18"/>
          <w:szCs w:val="18"/>
        </w:rPr>
      </w:pPr>
      <w:r>
        <w:rPr>
          <w:rStyle w:val="20"/>
          <w:color w:val="auto"/>
          <w:sz w:val="18"/>
          <w:szCs w:val="18"/>
        </w:rPr>
        <w:footnoteRef/>
      </w:r>
      <w:r>
        <w:rPr>
          <w:color w:val="auto"/>
          <w:sz w:val="18"/>
          <w:szCs w:val="18"/>
        </w:rPr>
        <w:t xml:space="preserve"> Đến nay, diện tích Diện tích lúa 650/650 ha, đạt 100% kế hoạch; trong tháng thu hoạch 17 ha trà sớm, sản lượng 92,7 tấn. Diện tích ngô 1.110/1.110 ha, đạt 100% kế hoạch; đã thu hoạch khoảng 580 ha, sản lượng lũy kế 2.726 tấn, đạt 52,25% kế hoạch. Rau, đậu các loại đạt 111/132 ha, bằng 84,1% kế hoạch; rau an toàn 20,5/25 ha, đạt 82%. Cây lạc đỏ thực hiện 28/28 ha, đạt 100% kế hoạch, đã thu hoạch 18 ha. Cây dược liệu đạt 65/120 ha, bằng 54,17% kế hoạch. Cây ăn quả thực hiện 581/580 ha, đạt 100,17% kế hoạch; sản lượng mận, lê đã thu hoạch khoảng 1.885 tấn.</w:t>
      </w:r>
    </w:p>
    <w:p w14:paraId="7E25603E">
      <w:pPr>
        <w:ind w:firstLine="720"/>
        <w:jc w:val="both"/>
        <w:rPr>
          <w:color w:val="auto"/>
          <w:sz w:val="18"/>
          <w:szCs w:val="18"/>
        </w:rPr>
      </w:pPr>
      <w:r>
        <w:rPr>
          <w:color w:val="auto"/>
          <w:sz w:val="18"/>
          <w:szCs w:val="18"/>
        </w:rPr>
        <w:t>Công tác phát triển chăn nuôi được duy trì, thường xuyên theo dõi, hướng dẫn Nhân dân chủ động phòng, chống dịch bệnh trên đàn vật nuôi. Tổng đàn gia súc lũy kế 12.573/15.200 con, đạt 82,72% kế hoạch; gia cầm 64.667/86.000 con, đạt 75,19%; đàn vật nuôi khác 590/638 con, đạt 92,48%. Sản lượng thịt hơi các loại lũy kế 678,1/1.070 tấn, đạt 63,65% kế hoạch. Thủy sản: Diện tích nuôi trồng thủy sản đạt 0,7/0,7 ha, bằng 100% kế hoạch; sản lượng nuôi trồng, đánh bắt trong tháng đạt 0,73 tấn, lũy kế 1,04/2 tấn, đạt 52% kế hoạch.</w:t>
      </w:r>
    </w:p>
    <w:p w14:paraId="0562646A">
      <w:pPr>
        <w:ind w:firstLine="720"/>
        <w:jc w:val="both"/>
        <w:rPr>
          <w:color w:val="auto"/>
          <w:sz w:val="18"/>
          <w:szCs w:val="18"/>
        </w:rPr>
      </w:pPr>
      <w:r>
        <w:rPr>
          <w:color w:val="auto"/>
          <w:spacing w:val="-4"/>
          <w:sz w:val="18"/>
          <w:szCs w:val="18"/>
        </w:rPr>
        <w:t xml:space="preserve">Lĩnh vực lâm nghiệp tiếp tục được </w:t>
      </w:r>
      <w:r>
        <w:rPr>
          <w:color w:val="auto"/>
          <w:sz w:val="18"/>
          <w:szCs w:val="18"/>
        </w:rPr>
        <w:t>Duy trì tốt diện tích rừng khoán, bảo vệ 2.469,64/2.469,64 ha, đạt 100% kế hoạch; khoanh nuôi tái sinh tự nhiên 15,4/15,4 ha, đạt 100%. Trong tháng trồng mới 2,9 ha rừng sản xuất, lũy kế 13,4/56 ha, đạt 23,93% kế hoạch. Tỷ lệ che phủ rừng đạt 38,88%/40,3%, bằng 96,48% kế hoạch.</w:t>
      </w:r>
    </w:p>
    <w:p w14:paraId="3CC05493">
      <w:pPr>
        <w:ind w:firstLine="720"/>
        <w:jc w:val="both"/>
        <w:rPr>
          <w:color w:val="auto"/>
          <w:sz w:val="18"/>
          <w:szCs w:val="18"/>
        </w:rPr>
      </w:pPr>
      <w:r>
        <w:rPr>
          <w:color w:val="auto"/>
          <w:sz w:val="18"/>
          <w:szCs w:val="18"/>
        </w:rPr>
        <w:t>Công tác phòng, chống thiên tai và tìm kiếm cứu nạn được triển khai chủ động theo phương châm "bốn tại chỗ"; thường xuyên theo dõi diễn biến thời tiết, rà soát các khu vực có nguy cơ xảy ra thiên tai, sạt lở đất, lũ quét; chuẩn bị đầy đủ lực lượng, phương tiện, vật tư sẵn sàng ứng phó, hạn chế thấp nhất thiệt hại về người và tài sản.</w:t>
      </w:r>
    </w:p>
    <w:p w14:paraId="1631A59A">
      <w:pPr>
        <w:ind w:firstLine="720"/>
        <w:jc w:val="both"/>
        <w:rPr>
          <w:color w:val="auto"/>
          <w:sz w:val="18"/>
          <w:szCs w:val="18"/>
        </w:rPr>
      </w:pPr>
      <w:r>
        <w:rPr>
          <w:color w:val="auto"/>
          <w:sz w:val="18"/>
          <w:szCs w:val="18"/>
        </w:rPr>
        <w:t>Chương trình mục tiêu quốc gia xây dựng nông thôn mới tiếp tục được quan tâm chỉ đạo; tập trung duy trì và nâng cao chất lượng các tiêu chí đã đạt, huy động sự tham gia của Nhân dân trong xây dựng kết cấu hạ tầng, bảo vệ môi trường, phát triển sản xuất và nâng cao thu nhập.</w:t>
      </w:r>
    </w:p>
  </w:footnote>
  <w:footnote w:id="2">
    <w:p w14:paraId="6119D803">
      <w:pPr>
        <w:ind w:firstLine="720"/>
        <w:jc w:val="both"/>
        <w:rPr>
          <w:color w:val="auto"/>
          <w:sz w:val="18"/>
          <w:szCs w:val="18"/>
        </w:rPr>
      </w:pPr>
      <w:r>
        <w:rPr>
          <w:rStyle w:val="20"/>
          <w:color w:val="auto"/>
          <w:sz w:val="18"/>
          <w:szCs w:val="18"/>
        </w:rPr>
        <w:footnoteRef/>
      </w:r>
      <w:r>
        <w:rPr>
          <w:color w:val="auto"/>
          <w:sz w:val="18"/>
          <w:szCs w:val="18"/>
        </w:rPr>
        <w:t xml:space="preserve"> Quản lý đất đai: Công tác quản lý nhà nước về đất đai, đo đạc, đăng ký và giải quyết hồ sơ được quan tâm thực hiện, cơ bản bảo đảm tiến độ. Trong tháng trích đo địa chính 08 thửa, lũy kế 37/20 thửa, đạt 185% kế hoạch; đăng ký, cấp giấy chứng nhận quyền sử dụng đất lần đầu lũy kế 34/50 giấy, đạt 68%; tiếp nhận 10 hồ sơ chuyển mục đích sử dụng đất, đã giải quyết 05 hồ sơ, 04 hồ sơ đang thực hiện. Đăng ký biến động đất đai 05 hồ sơ, lũy kế 18/10 hồ sơ, đạt 180% kế hoạch.</w:t>
      </w:r>
    </w:p>
    <w:p w14:paraId="0227F6BF">
      <w:pPr>
        <w:ind w:firstLine="720"/>
        <w:jc w:val="both"/>
        <w:rPr>
          <w:color w:val="auto"/>
          <w:sz w:val="18"/>
          <w:szCs w:val="18"/>
        </w:rPr>
      </w:pPr>
      <w:r>
        <w:rPr>
          <w:rStyle w:val="27"/>
          <w:b w:val="0"/>
          <w:color w:val="auto"/>
          <w:sz w:val="18"/>
          <w:szCs w:val="18"/>
        </w:rPr>
        <w:t>Công tác bảo vệ môi trường:</w:t>
      </w:r>
      <w:r>
        <w:rPr>
          <w:color w:val="auto"/>
          <w:sz w:val="18"/>
          <w:szCs w:val="18"/>
        </w:rPr>
        <w:t xml:space="preserve"> Tiếp tục được quan tâm, các chỉ tiêu cơ bản đạt và vượt kế hoạch. Chất thải nguy hại, chất thải y tế được thu gom, xử lý đạt </w:t>
      </w:r>
      <w:r>
        <w:rPr>
          <w:rStyle w:val="27"/>
          <w:b w:val="0"/>
          <w:color w:val="auto"/>
          <w:sz w:val="18"/>
          <w:szCs w:val="18"/>
        </w:rPr>
        <w:t>100% kế hoạch</w:t>
      </w:r>
      <w:r>
        <w:rPr>
          <w:color w:val="auto"/>
          <w:sz w:val="18"/>
          <w:szCs w:val="18"/>
        </w:rPr>
        <w:t xml:space="preserve">; tỷ lệ chất thải rắn sinh hoạt được thu gom, xử lý đạt </w:t>
      </w:r>
      <w:r>
        <w:rPr>
          <w:rStyle w:val="27"/>
          <w:b w:val="0"/>
          <w:color w:val="auto"/>
          <w:sz w:val="18"/>
          <w:szCs w:val="18"/>
        </w:rPr>
        <w:t>82%</w:t>
      </w:r>
      <w:r>
        <w:rPr>
          <w:color w:val="auto"/>
          <w:sz w:val="18"/>
          <w:szCs w:val="18"/>
        </w:rPr>
        <w:t xml:space="preserve">; hộ gia đình phân loại chất thải rắn tại nguồn đạt </w:t>
      </w:r>
      <w:r>
        <w:rPr>
          <w:rStyle w:val="27"/>
          <w:b w:val="0"/>
          <w:color w:val="auto"/>
          <w:sz w:val="18"/>
          <w:szCs w:val="18"/>
        </w:rPr>
        <w:t>64%</w:t>
      </w:r>
      <w:r>
        <w:rPr>
          <w:color w:val="auto"/>
          <w:sz w:val="18"/>
          <w:szCs w:val="18"/>
        </w:rPr>
        <w:t xml:space="preserve">; dân nông thôn sử dụng nước hợp vệ sinh đạt </w:t>
      </w:r>
      <w:r>
        <w:rPr>
          <w:rStyle w:val="27"/>
          <w:b w:val="0"/>
          <w:color w:val="auto"/>
          <w:sz w:val="18"/>
          <w:szCs w:val="18"/>
        </w:rPr>
        <w:t>96%</w:t>
      </w:r>
      <w:r>
        <w:rPr>
          <w:color w:val="auto"/>
          <w:sz w:val="18"/>
          <w:szCs w:val="18"/>
        </w:rPr>
        <w:t xml:space="preserve">; hộ dân có nhà tiêu hợp vệ sinh đạt </w:t>
      </w:r>
      <w:r>
        <w:rPr>
          <w:rStyle w:val="27"/>
          <w:b w:val="0"/>
          <w:color w:val="auto"/>
          <w:sz w:val="18"/>
          <w:szCs w:val="18"/>
        </w:rPr>
        <w:t>80%</w:t>
      </w:r>
      <w:r>
        <w:rPr>
          <w:color w:val="auto"/>
          <w:sz w:val="18"/>
          <w:szCs w:val="18"/>
        </w:rPr>
        <w:t xml:space="preserve">, vượt </w:t>
      </w:r>
      <w:r>
        <w:rPr>
          <w:rStyle w:val="27"/>
          <w:b w:val="0"/>
          <w:color w:val="auto"/>
          <w:sz w:val="18"/>
          <w:szCs w:val="18"/>
        </w:rPr>
        <w:t>14,29% kế hoạch</w:t>
      </w:r>
      <w:r>
        <w:rPr>
          <w:b/>
          <w:color w:val="auto"/>
          <w:sz w:val="18"/>
          <w:szCs w:val="18"/>
        </w:rPr>
        <w:t xml:space="preserve">. </w:t>
      </w:r>
      <w:r>
        <w:rPr>
          <w:rStyle w:val="27"/>
          <w:b w:val="0"/>
          <w:color w:val="auto"/>
          <w:sz w:val="18"/>
          <w:szCs w:val="18"/>
        </w:rPr>
        <w:t>Tỷ lệ dân số được sử dụng nước sạch đạt quy chuẩn mới đạt 0/9%, chưa đạt kế hoạch</w:t>
      </w:r>
      <w:r>
        <w:rPr>
          <w:color w:val="auto"/>
          <w:sz w:val="18"/>
          <w:szCs w:val="18"/>
        </w:rPr>
        <w:t>, cần tiếp tục tập trung chỉ đạo thực hiện.</w:t>
      </w:r>
    </w:p>
  </w:footnote>
  <w:footnote w:id="3">
    <w:p w14:paraId="3AEB67FB">
      <w:pPr>
        <w:pStyle w:val="21"/>
        <w:ind w:firstLine="720"/>
        <w:jc w:val="both"/>
        <w:rPr>
          <w:color w:val="auto"/>
          <w:sz w:val="18"/>
          <w:szCs w:val="18"/>
        </w:rPr>
      </w:pPr>
      <w:r>
        <w:rPr>
          <w:rStyle w:val="20"/>
          <w:color w:val="auto"/>
          <w:sz w:val="18"/>
          <w:szCs w:val="18"/>
        </w:rPr>
        <w:footnoteRef/>
      </w:r>
      <w:r>
        <w:rPr>
          <w:color w:val="auto"/>
          <w:sz w:val="18"/>
          <w:szCs w:val="18"/>
        </w:rPr>
        <w:t xml:space="preserve"> Danh sách 09 công trình giải ngân cao: Đường từ thôn Nàng Cảng 2 đi thôn Lử Thẩn; Đường từ thôn Dì Thào Ván đi thôn Tả Chải; Đường từ thôn Pù Chù Ván đi khu sản xuất; Tuyến đi nhóm hộ dân thôn Dì Thào Ván; Tuyến từ hộ ông Ly Seo Tà đi trạm nước thôn Dì Thào Ván; Tuyến QL4 đi Seng Sui; Sửa chữa trụ sở UBND xã Tả Va Chư (cũ) làm Trạm y tế; Cải tạo khuôn viên Đảng ủy, UBND xã Lùng Phình; Xây dựng Nhà bán trú, nhà ăn Trường THCS&amp;THPT Bắc Hà; Trường Mầm non Lùng Phình (Điểm trường Lử Chồ); Sửa chữa, cải tạo cơ sở UBND xã Lầu Thí Ngài (cũ) thành điểm trường chính Mầm non Lùng Phình.</w:t>
      </w:r>
    </w:p>
  </w:footnote>
  <w:footnote w:id="4">
    <w:p w14:paraId="2D5E1951">
      <w:pPr>
        <w:pStyle w:val="21"/>
        <w:ind w:firstLine="720"/>
        <w:jc w:val="both"/>
        <w:rPr>
          <w:color w:val="auto"/>
          <w:sz w:val="18"/>
          <w:szCs w:val="18"/>
        </w:rPr>
      </w:pPr>
      <w:r>
        <w:rPr>
          <w:rStyle w:val="20"/>
          <w:color w:val="auto"/>
          <w:sz w:val="18"/>
          <w:szCs w:val="18"/>
        </w:rPr>
        <w:footnoteRef/>
      </w:r>
      <w:r>
        <w:rPr>
          <w:color w:val="auto"/>
          <w:sz w:val="18"/>
          <w:szCs w:val="18"/>
        </w:rPr>
        <w:t xml:space="preserve"> Danh sách 02 công trình đang xét duyệt hồ sơ: Sửa chữa tuyến đường QL4E - Ông Ly Seo Tà (thôn Dì Thào Ván); Sửa chữa Trạm y tế Lầu Thí Ngài (cũ) thành nhà bán trú Trường Tiểu học Lùng Phình.</w:t>
      </w:r>
    </w:p>
  </w:footnote>
  <w:footnote w:id="5">
    <w:p w14:paraId="022BEA2C">
      <w:pPr>
        <w:pStyle w:val="21"/>
        <w:ind w:firstLine="720"/>
        <w:jc w:val="both"/>
        <w:rPr>
          <w:color w:val="auto"/>
          <w:sz w:val="18"/>
          <w:szCs w:val="18"/>
        </w:rPr>
      </w:pPr>
      <w:r>
        <w:rPr>
          <w:rStyle w:val="20"/>
          <w:color w:val="auto"/>
          <w:sz w:val="18"/>
          <w:szCs w:val="18"/>
        </w:rPr>
        <w:footnoteRef/>
      </w:r>
      <w:r>
        <w:rPr>
          <w:color w:val="auto"/>
          <w:sz w:val="18"/>
          <w:szCs w:val="18"/>
        </w:rPr>
        <w:t xml:space="preserve"> Danh sách 05 công trình vướng mắc, chậm tiến độ: Sửa chữa xưởng dược liệu tại thôn Tả Chải; Tuyến đường liên xã từ thôn Sín Chải (Tả Van Chư) đi thôn Cán Cấu (Si Ma Cai); Đường từ thôn Nhiều Cù Ván A đến thôn Tẩn Chư Tả Van Chư; Quy hoạch chung xã Lùng Phình; Công trình khắc phục thiên tai năm 2026.</w:t>
      </w:r>
    </w:p>
  </w:footnote>
  <w:footnote w:id="6">
    <w:p w14:paraId="1CA9F154">
      <w:pPr>
        <w:widowControl w:val="0"/>
        <w:ind w:firstLine="720"/>
        <w:jc w:val="both"/>
        <w:rPr>
          <w:color w:val="auto"/>
          <w:sz w:val="18"/>
          <w:szCs w:val="18"/>
        </w:rPr>
      </w:pPr>
      <w:r>
        <w:rPr>
          <w:rStyle w:val="20"/>
          <w:color w:val="auto"/>
          <w:sz w:val="18"/>
          <w:szCs w:val="18"/>
        </w:rPr>
        <w:footnoteRef/>
      </w:r>
      <w:r>
        <w:rPr>
          <w:color w:val="auto"/>
          <w:sz w:val="18"/>
          <w:szCs w:val="18"/>
        </w:rPr>
        <w:t xml:space="preserve"> Hạ tầng điện, viễn thông tiếp tục được duy trì ổn định, đáp ứng yêu cầu sản xuất, kinh doanh và đời sống Nhân dân; công tác chuyển đổi số trong lĩnh vực kinh tế từng bước được đẩy mạnh.</w:t>
      </w:r>
    </w:p>
    <w:p w14:paraId="1DDB3AA5">
      <w:pPr>
        <w:widowControl w:val="0"/>
        <w:ind w:firstLine="720"/>
        <w:jc w:val="both"/>
        <w:rPr>
          <w:color w:val="auto"/>
          <w:sz w:val="18"/>
          <w:szCs w:val="18"/>
        </w:rPr>
      </w:pPr>
      <w:r>
        <w:rPr>
          <w:color w:val="auto"/>
          <w:sz w:val="18"/>
          <w:szCs w:val="18"/>
        </w:rPr>
        <w:t>Hoạt động du lịch cộng đồng tiếp tục có chuyển biến tích cực; trong tháng đón 418 lượt khách, góp phần nâng tổng số khách du lịch đến địa phương từ đầu năm đạt 6.570 lượt. Chương trình OCOP được tiếp tục quan tâm chỉ đạo; duy trì và phát huy hiệu quả 03 sản phẩm OCOP của địa phương, góp phần quảng bá sản phẩm đặc trưng, thúc đẩy phát triển kinh tế nông thôn.</w:t>
      </w:r>
    </w:p>
  </w:footnote>
  <w:footnote w:id="7">
    <w:p w14:paraId="7401CBA1">
      <w:pPr>
        <w:ind w:firstLine="720"/>
        <w:jc w:val="both"/>
        <w:rPr>
          <w:color w:val="auto"/>
          <w:sz w:val="16"/>
          <w:szCs w:val="16"/>
        </w:rPr>
      </w:pPr>
      <w:r>
        <w:rPr>
          <w:rStyle w:val="20"/>
          <w:color w:val="auto"/>
          <w:sz w:val="16"/>
          <w:szCs w:val="16"/>
        </w:rPr>
        <w:footnoteRef/>
      </w:r>
      <w:r>
        <w:rPr>
          <w:color w:val="auto"/>
          <w:sz w:val="16"/>
          <w:szCs w:val="16"/>
        </w:rPr>
        <w:t xml:space="preserve"> Hoạt động du lịch cộng đồng tiếp tục có chuyển biến tích cực; công tác quảng bá hình ảnh, văn hóa và các điểm du lịch của địa phương được quan tâm. Trong tháng, xã đón 418 lượt khách du lịch; lũy kế từ đầu năm đạt 6.570 lượt khách, góp phần tạo việc làm, tăng thu nhập cho người dân và thúc đẩy phát triển kinh tế địa phương.</w:t>
      </w:r>
    </w:p>
    <w:p w14:paraId="69ED6BC2">
      <w:pPr>
        <w:ind w:firstLine="720"/>
        <w:jc w:val="both"/>
        <w:rPr>
          <w:color w:val="auto"/>
          <w:spacing w:val="-6"/>
          <w:sz w:val="18"/>
          <w:szCs w:val="18"/>
        </w:rPr>
      </w:pPr>
      <w:r>
        <w:rPr>
          <w:color w:val="auto"/>
          <w:spacing w:val="-6"/>
          <w:sz w:val="18"/>
          <w:szCs w:val="18"/>
        </w:rPr>
        <w:t>Chương trình "Mỗi xã một sản phẩm" (OCOP) tiếp tục được quan tâm chỉ đạo; duy trì, nâng cao chất lượng và phát huy hiệu quả 03 sản phẩm OCOP đã được công nhận; đồng thời tăng cường hỗ trợ các chủ thể OCOP trong hoạt động quảng bá, xúc tiến thương mại, kết nối tiêu thụ sản phẩm, góp phần nâng cao giá trị nông sản đặc trưng và phát triển kinh tế nông thôn bền vững.</w:t>
      </w:r>
    </w:p>
  </w:footnote>
  <w:footnote w:id="8">
    <w:p w14:paraId="21287CC9">
      <w:pPr>
        <w:pStyle w:val="75"/>
        <w:spacing w:before="20" w:beforeAutospacing="0" w:after="20" w:afterAutospacing="0"/>
        <w:ind w:firstLine="720"/>
        <w:jc w:val="both"/>
        <w:rPr>
          <w:color w:val="auto"/>
          <w:sz w:val="18"/>
          <w:szCs w:val="18"/>
        </w:rPr>
      </w:pPr>
      <w:r>
        <w:rPr>
          <w:rStyle w:val="20"/>
          <w:color w:val="auto"/>
          <w:sz w:val="18"/>
          <w:szCs w:val="18"/>
        </w:rPr>
        <w:footnoteRef/>
      </w:r>
      <w:r>
        <w:rPr>
          <w:color w:val="auto"/>
          <w:sz w:val="18"/>
          <w:szCs w:val="18"/>
        </w:rPr>
        <w:t xml:space="preserve"> Trong tháng, Trong tháng, trên địa bàn </w:t>
      </w:r>
      <w:r>
        <w:rPr>
          <w:rStyle w:val="27"/>
          <w:b w:val="0"/>
          <w:color w:val="auto"/>
          <w:sz w:val="18"/>
          <w:szCs w:val="18"/>
        </w:rPr>
        <w:t>không xảy ra dịch bệnh lớn và ngộ độc thực phẩm</w:t>
      </w:r>
      <w:r>
        <w:rPr>
          <w:b/>
          <w:color w:val="auto"/>
          <w:sz w:val="18"/>
          <w:szCs w:val="18"/>
        </w:rPr>
        <w:t>;</w:t>
      </w:r>
      <w:r>
        <w:rPr>
          <w:color w:val="auto"/>
          <w:sz w:val="18"/>
          <w:szCs w:val="18"/>
        </w:rPr>
        <w:t xml:space="preserve"> Trạm Y tế xã duy trì công tác giám sát, phòng, chống các bệnh truyền nhiễm theo mùa và triển khai các biện pháp bảo đảm an toàn thực phẩm.</w:t>
      </w:r>
    </w:p>
    <w:p w14:paraId="2947EEC2">
      <w:pPr>
        <w:pStyle w:val="75"/>
        <w:spacing w:before="20" w:beforeAutospacing="0" w:after="20" w:afterAutospacing="0"/>
        <w:ind w:firstLine="720"/>
        <w:jc w:val="both"/>
        <w:rPr>
          <w:color w:val="auto"/>
          <w:sz w:val="18"/>
          <w:szCs w:val="18"/>
        </w:rPr>
      </w:pPr>
      <w:r>
        <w:rPr>
          <w:color w:val="auto"/>
          <w:sz w:val="18"/>
          <w:szCs w:val="18"/>
        </w:rPr>
        <w:t xml:space="preserve">Tỷ lệ bao phủ bảo hiểm y tế duy trì ở mức </w:t>
      </w:r>
      <w:r>
        <w:rPr>
          <w:rStyle w:val="27"/>
          <w:b w:val="0"/>
          <w:color w:val="auto"/>
          <w:sz w:val="18"/>
          <w:szCs w:val="18"/>
        </w:rPr>
        <w:t>99%, đạt 100% kế hoạch</w:t>
      </w:r>
      <w:r>
        <w:rPr>
          <w:color w:val="auto"/>
          <w:sz w:val="18"/>
          <w:szCs w:val="18"/>
        </w:rPr>
        <w:t xml:space="preserve">; số bác sĩ trên 10.000 dân đạt </w:t>
      </w:r>
      <w:r>
        <w:rPr>
          <w:rStyle w:val="27"/>
          <w:b w:val="0"/>
          <w:color w:val="auto"/>
          <w:sz w:val="18"/>
          <w:szCs w:val="18"/>
        </w:rPr>
        <w:t>1,6 bác sĩ, đạt 190,48% kế hoạch</w:t>
      </w:r>
      <w:r>
        <w:rPr>
          <w:color w:val="auto"/>
          <w:sz w:val="18"/>
          <w:szCs w:val="18"/>
        </w:rPr>
        <w:t xml:space="preserve">. Công tác khám, chữa bệnh được duy trì; trong tháng có </w:t>
      </w:r>
      <w:r>
        <w:rPr>
          <w:rStyle w:val="27"/>
          <w:b w:val="0"/>
          <w:color w:val="auto"/>
          <w:sz w:val="18"/>
          <w:szCs w:val="18"/>
        </w:rPr>
        <w:t>2.832 lượt khám</w:t>
      </w:r>
      <w:r>
        <w:rPr>
          <w:color w:val="auto"/>
          <w:sz w:val="18"/>
          <w:szCs w:val="18"/>
        </w:rPr>
        <w:t>, lũy kế đạt 57,35% kế hoạch năm.</w:t>
      </w:r>
    </w:p>
    <w:p w14:paraId="479F43BF">
      <w:pPr>
        <w:pStyle w:val="75"/>
        <w:spacing w:before="20" w:beforeAutospacing="0" w:after="20" w:afterAutospacing="0"/>
        <w:ind w:firstLine="720"/>
        <w:jc w:val="both"/>
        <w:rPr>
          <w:b/>
          <w:color w:val="auto"/>
          <w:sz w:val="18"/>
          <w:szCs w:val="18"/>
        </w:rPr>
      </w:pPr>
      <w:r>
        <w:rPr>
          <w:color w:val="auto"/>
          <w:sz w:val="18"/>
          <w:szCs w:val="18"/>
        </w:rPr>
        <w:t xml:space="preserve">Công tác khám sức khỏe cho cán bộ, công chức, viên chức được triển khai; đến ngày 13/8/2026 đã có </w:t>
      </w:r>
      <w:r>
        <w:rPr>
          <w:rStyle w:val="27"/>
          <w:b w:val="0"/>
          <w:color w:val="auto"/>
          <w:sz w:val="18"/>
          <w:szCs w:val="18"/>
        </w:rPr>
        <w:t>274/382 người được khám, đạt 71,7%</w:t>
      </w:r>
      <w:r>
        <w:rPr>
          <w:b/>
          <w:color w:val="auto"/>
          <w:sz w:val="18"/>
          <w:szCs w:val="18"/>
        </w:rPr>
        <w:t>.</w:t>
      </w:r>
    </w:p>
    <w:p w14:paraId="43DD166F">
      <w:pPr>
        <w:ind w:firstLine="720"/>
        <w:jc w:val="both"/>
        <w:rPr>
          <w:color w:val="auto"/>
          <w:sz w:val="18"/>
          <w:szCs w:val="18"/>
        </w:rPr>
      </w:pPr>
    </w:p>
  </w:footnote>
  <w:footnote w:id="9">
    <w:p w14:paraId="39A32A4C">
      <w:pPr>
        <w:ind w:firstLine="720"/>
        <w:jc w:val="both"/>
        <w:rPr>
          <w:color w:val="auto"/>
          <w:sz w:val="18"/>
          <w:szCs w:val="18"/>
        </w:rPr>
      </w:pPr>
      <w:r>
        <w:rPr>
          <w:rStyle w:val="20"/>
          <w:color w:val="auto"/>
          <w:sz w:val="18"/>
          <w:szCs w:val="18"/>
        </w:rPr>
        <w:footnoteRef/>
      </w:r>
      <w:r>
        <w:rPr>
          <w:color w:val="auto"/>
          <w:sz w:val="18"/>
          <w:szCs w:val="18"/>
        </w:rPr>
        <w:t xml:space="preserve"> Trong tháng đón 700 lượt khách, lũy kế 70.500 lượt, đạt 88,13% kế hoạch năm; tổng doanh thu du lịch đạt 0,210 tỷ đồng, lũy kế 21,11 tỷ đồng, đạt 88% kế hoạch năm.</w:t>
      </w:r>
    </w:p>
  </w:footnote>
  <w:footnote w:id="10">
    <w:p w14:paraId="59FF9BD8">
      <w:pPr>
        <w:pStyle w:val="75"/>
        <w:spacing w:before="20" w:beforeAutospacing="0" w:after="20" w:afterAutospacing="0"/>
        <w:ind w:firstLine="720"/>
        <w:jc w:val="both"/>
        <w:rPr>
          <w:color w:val="auto"/>
          <w:sz w:val="18"/>
          <w:szCs w:val="18"/>
        </w:rPr>
      </w:pPr>
      <w:r>
        <w:rPr>
          <w:rStyle w:val="20"/>
          <w:color w:val="auto"/>
          <w:sz w:val="18"/>
          <w:szCs w:val="18"/>
          <w:u w:val="single"/>
        </w:rPr>
        <w:footnoteRef/>
      </w:r>
      <w:r>
        <w:rPr>
          <w:color w:val="auto"/>
          <w:sz w:val="18"/>
          <w:szCs w:val="18"/>
        </w:rPr>
        <w:t xml:space="preserve"> Triển khai </w:t>
      </w:r>
      <w:r>
        <w:rPr>
          <w:rStyle w:val="27"/>
          <w:b w:val="0"/>
          <w:color w:val="auto"/>
          <w:sz w:val="18"/>
          <w:szCs w:val="18"/>
        </w:rPr>
        <w:t>“Chiến dịch 90 ngày xây dựng cơ sở dữ liệu tỉnh Lào Cai”</w:t>
      </w:r>
      <w:r>
        <w:rPr>
          <w:color w:val="auto"/>
          <w:sz w:val="18"/>
          <w:szCs w:val="18"/>
        </w:rPr>
        <w:t xml:space="preserve"> từ ngày 01/8/2026 đến ngày 30/10/2026; thành lập Tổ xây dựng cơ sở dữ liệu xã và ban hành Quy chế hoạt động của Tổ Công nghệ số cộng đồng. Tiếp tục theo dõi, đôn đốc việc xây dựng, cập nhật, chuẩn hóa dữ liệu và tăng cường ứng dụng công nghệ thông tin trong hoạt động quản lý nhà nước. Trong kỳ, tiếp nhận 395 hồ sơ, trong đó 364 hồ sơ trực tuyến; đã giải quyết 352 hồ sơ, còn 43 hồ sơ đang giải quyết, trong đó 42 hồ sơ trong hạn, 01 hồ sơ quá hạn. Tỷ lệ hồ sơ trực tuyến đạt cao, cho thấy việc triển khai dịch vụ công trực tuyến có chuyển biến tích cực.</w:t>
      </w:r>
      <w:r>
        <w:rPr>
          <w:rFonts w:hint="default"/>
          <w:color w:val="auto"/>
          <w:sz w:val="18"/>
          <w:szCs w:val="18"/>
          <w:lang w:val="en-US"/>
        </w:rPr>
        <w:t xml:space="preserve"> </w:t>
      </w:r>
      <w:r>
        <w:rPr>
          <w:color w:val="auto"/>
          <w:sz w:val="18"/>
          <w:szCs w:val="18"/>
        </w:rPr>
        <w:t>Tiếp tục chỉ đạo nâng cao chất lượng giải quyết thủ tục hành chính, nhất là lĩnh vực đất đai; khẩn trương rà soát, xử lý dứt điểm hồ sơ quá hạn, không để phát sinh tồn đọng, kéo dài.</w:t>
      </w:r>
    </w:p>
    <w:p w14:paraId="4AD86006">
      <w:pPr>
        <w:jc w:val="both"/>
        <w:rPr>
          <w:color w:val="auto"/>
          <w:sz w:val="16"/>
          <w:szCs w:val="16"/>
        </w:rPr>
      </w:pPr>
    </w:p>
  </w:footnote>
  <w:footnote w:id="11">
    <w:p w14:paraId="75610464">
      <w:pPr>
        <w:pStyle w:val="21"/>
        <w:ind w:firstLine="720"/>
        <w:jc w:val="both"/>
        <w:rPr>
          <w:sz w:val="18"/>
          <w:szCs w:val="18"/>
        </w:rPr>
      </w:pPr>
      <w:r>
        <w:rPr>
          <w:rStyle w:val="20"/>
          <w:sz w:val="18"/>
          <w:szCs w:val="18"/>
        </w:rPr>
        <w:footnoteRef/>
      </w:r>
      <w:r>
        <w:rPr>
          <w:sz w:val="18"/>
          <w:szCs w:val="18"/>
        </w:rPr>
        <w:t xml:space="preserve"> Tổ chức test ma túy cho </w:t>
      </w:r>
      <w:r>
        <w:rPr>
          <w:rStyle w:val="27"/>
          <w:b w:val="0"/>
          <w:sz w:val="18"/>
          <w:szCs w:val="18"/>
        </w:rPr>
        <w:t>88 cán bộ, đảng viên, công chức, viên chức</w:t>
      </w:r>
      <w:r>
        <w:rPr>
          <w:b/>
          <w:sz w:val="18"/>
          <w:szCs w:val="18"/>
        </w:rPr>
        <w:t>, k</w:t>
      </w:r>
      <w:r>
        <w:rPr>
          <w:sz w:val="18"/>
          <w:szCs w:val="18"/>
        </w:rPr>
        <w:t xml:space="preserve">ết quả 100% âm tính. Công tác quản lý cư trú, ngành nghề kinh doanh có điều kiện, vũ khí, vật liệu nổ, công cụ hỗ trợ được tăng cường; giải quyết </w:t>
      </w:r>
      <w:r>
        <w:rPr>
          <w:rStyle w:val="27"/>
          <w:b w:val="0"/>
          <w:sz w:val="18"/>
          <w:szCs w:val="18"/>
        </w:rPr>
        <w:t xml:space="preserve">107 hồ </w:t>
      </w:r>
      <w:r>
        <w:rPr>
          <w:rStyle w:val="27"/>
          <w:sz w:val="18"/>
          <w:szCs w:val="18"/>
        </w:rPr>
        <w:t>sơ</w:t>
      </w:r>
      <w:r>
        <w:rPr>
          <w:sz w:val="18"/>
          <w:szCs w:val="18"/>
        </w:rPr>
        <w:t xml:space="preserve"> trên Cổng Dịch vụ công, đạt 100%</w:t>
      </w:r>
    </w:p>
  </w:footnote>
  <w:footnote w:id="12">
    <w:p w14:paraId="7D324531">
      <w:pPr>
        <w:ind w:firstLine="720"/>
        <w:jc w:val="both"/>
        <w:rPr>
          <w:color w:val="auto"/>
          <w:sz w:val="18"/>
          <w:szCs w:val="18"/>
        </w:rPr>
      </w:pPr>
      <w:r>
        <w:rPr>
          <w:rStyle w:val="20"/>
          <w:color w:val="auto"/>
          <w:sz w:val="18"/>
          <w:szCs w:val="18"/>
        </w:rPr>
        <w:footnoteRef/>
      </w:r>
      <w:r>
        <w:rPr>
          <w:color w:val="auto"/>
          <w:sz w:val="18"/>
          <w:szCs w:val="18"/>
        </w:rPr>
        <w:t xml:space="preserve"> - Ủy Ban MTTQ Việt Nam xã: MTTQ xã phối hợp tổ chức tuyên truyền tại 12/12 thôn, tập huấn công nghệ thông tin, kỹ năng soạn thảo văn bản và chuyển đổi số cho 24 cán bộ không chuyên trách ở thôn; tổ chức các hoạt động “Đền ơn đáp nghĩa”, trao 09 suất quà cho người có công; tăng cường công tác giám sát, phản biện xã hội, tham gia xây dựng Đảng, xây dựng chính quyền và phối hợp giải quyết ý kiến, kiến nghị của Nhân dân.</w:t>
      </w:r>
    </w:p>
    <w:p w14:paraId="718C1A21">
      <w:pPr>
        <w:ind w:firstLine="720"/>
        <w:jc w:val="both"/>
        <w:rPr>
          <w:color w:val="auto"/>
          <w:sz w:val="18"/>
          <w:szCs w:val="18"/>
        </w:rPr>
      </w:pPr>
      <w:r>
        <w:rPr>
          <w:color w:val="auto"/>
          <w:sz w:val="18"/>
          <w:szCs w:val="18"/>
        </w:rPr>
        <w:t>- Đoàn Thanh niên Cộng sản Hồ Chí Minh: Đoàn xã duy trì hoạt động của 12 chi đoàn; đẩy mạnh tuyên truyền, giáo dục chính trị, tư tưởng, pháp luật; triển khai các hoạt động tình nguyện hè, chăm sóc thiếu nhi, bảo vệ môi trường, chuyển đổi số; tuyên truyền phòng, chống ma túy, tảo hôn và chuẩn bị năm học 2026-2027. Công tác củng cố tổ chức Đoàn, bồi dưỡng nghiệp vụ cán bộ và phát huy vai trò đoàn viên, thanh niên tham gia thực hiện nhiệm vụ chính trị tại địa phương được quan tâm</w:t>
      </w:r>
    </w:p>
    <w:p w14:paraId="4CD9F663">
      <w:pPr>
        <w:ind w:firstLine="720"/>
        <w:jc w:val="both"/>
        <w:rPr>
          <w:color w:val="auto"/>
          <w:sz w:val="18"/>
          <w:szCs w:val="18"/>
        </w:rPr>
      </w:pPr>
      <w:r>
        <w:rPr>
          <w:color w:val="auto"/>
        </w:rPr>
        <w:t xml:space="preserve">- </w:t>
      </w:r>
      <w:r>
        <w:rPr>
          <w:color w:val="auto"/>
          <w:sz w:val="18"/>
          <w:szCs w:val="18"/>
        </w:rPr>
        <w:t>Hội Liên hiệp Phụ nữ: Hội LHPN xã tiếp tục củng cố tổ chức Hội, tuyên truyền, vận động hội viên thực hiện chủ trương của Đảng, chính sách, pháp luật của Nhà nước; triển khai các hoạt động chuyển đổi số, bảo vệ môi trường, bình đẳng giới, phòng, chống ma túy, tảo hôn và bạo lực gia đình. Tổ chức tập huấn ứng dụng công nghệ thông tin cho 24 cán bộ cơ sở; cập nhật dữ liệu hội viên đạt 70%; hỗ trợ hội viên vay 350 triệu đồng phát triển kinh tế và huy động 96 lượt hội viên, Nhân dân tham gia vệ sinh môi trường.</w:t>
      </w:r>
    </w:p>
    <w:p w14:paraId="4C33F382">
      <w:pPr>
        <w:ind w:firstLine="720"/>
        <w:jc w:val="both"/>
        <w:rPr>
          <w:color w:val="auto"/>
          <w:sz w:val="18"/>
          <w:szCs w:val="18"/>
        </w:rPr>
      </w:pPr>
      <w:r>
        <w:rPr>
          <w:color w:val="auto"/>
          <w:sz w:val="18"/>
          <w:szCs w:val="18"/>
        </w:rPr>
        <w:t>Hội Nông dân: Hội Nông dân xã tập trung tuyên truyền, vận động hội viên thực hiện các chủ trương của Đảng, chính sách, pháp luật của Nhà nước; đẩy mạnh sản xuất nông nghiệp, bảo vệ rừng, xây dựng nông thôn mới. Tổ chức ra mắt Tổ hội trồng rau an toàn tại thôn Lầu Thí Ngài với 14 thành viên, diện tích 6,7 ha; duy trì hiệu quả hoạt động ủy thác với Ngân hàng Chính sách xã hội, tổng dư nợ 17,566 tỷ đồng/300 hộ; phối hợp tuyên truyền, vận động hội viên tham gia các phong trào thi đua, bảo vệ môi trường, giữ gìn an ninh, trật tự trên địa bàn.</w:t>
      </w:r>
    </w:p>
    <w:p w14:paraId="2587A358">
      <w:pPr>
        <w:ind w:firstLine="720"/>
        <w:jc w:val="both"/>
        <w:rPr>
          <w:color w:val="auto"/>
          <w:sz w:val="18"/>
          <w:szCs w:val="18"/>
        </w:rPr>
      </w:pPr>
      <w:r>
        <w:rPr>
          <w:color w:val="auto"/>
          <w:sz w:val="18"/>
          <w:szCs w:val="18"/>
        </w:rPr>
        <w:t>Hội Cựu chiến binh: Hội CCB xã tập trung tuyên truyền, giáo dục chính trị, tư tưởng, vận động hội viên chấp hành chủ trương của Đảng, chính sách, pháp luật của Nhà nước; kiện toàn tổ chức</w:t>
      </w:r>
      <w:r>
        <w:rPr>
          <w:b/>
          <w:color w:val="auto"/>
          <w:sz w:val="18"/>
          <w:szCs w:val="18"/>
        </w:rPr>
        <w:t xml:space="preserve">, </w:t>
      </w:r>
      <w:r>
        <w:rPr>
          <w:rStyle w:val="27"/>
          <w:b w:val="0"/>
          <w:color w:val="auto"/>
          <w:sz w:val="18"/>
          <w:szCs w:val="18"/>
        </w:rPr>
        <w:t>thành lập 12 chi hội CCB thôn sau sáp nhập</w:t>
      </w:r>
      <w:r>
        <w:rPr>
          <w:color w:val="auto"/>
          <w:sz w:val="18"/>
          <w:szCs w:val="18"/>
        </w:rPr>
        <w:t xml:space="preserve"> và chỉ định chức danh chi hội trưởng, chi hội phó. Hội tiếp tục phối hợp thực hiện các nhiệm vụ chính trị, tham gia phòng, chống ma túy, bảo vệ môi trường, chuyển đổi số; quản lý </w:t>
      </w:r>
      <w:r>
        <w:rPr>
          <w:rStyle w:val="27"/>
          <w:b w:val="0"/>
          <w:color w:val="auto"/>
          <w:sz w:val="18"/>
          <w:szCs w:val="18"/>
        </w:rPr>
        <w:t>07 tổ tiết kiệm và vay vốn, dư nợ 19,196 tỷ đồng/280 hộ</w:t>
      </w:r>
      <w:r>
        <w:rPr>
          <w:color w:val="auto"/>
          <w:sz w:val="18"/>
          <w:szCs w:val="18"/>
        </w:rPr>
        <w:t>, cơ bản sử dụng vốn đúng mục đích, hiệu quả.</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54BA9">
    <w:pPr>
      <w:pStyle w:val="22"/>
      <w:rPr>
        <w:rFonts w:ascii=".VnArialH" w:hAnsi=".VnArialH"/>
        <w:sz w:val="12"/>
      </w:rPr>
    </w:pPr>
    <w:r>
      <w:rPr>
        <w:rFonts w:ascii=".VnArialH" w:hAnsi=".VnArialH"/>
        <w:sz w:val="12"/>
      </w:rPr>
      <mc:AlternateContent>
        <mc:Choice Requires="wps">
          <w:drawing>
            <wp:anchor distT="0" distB="0" distL="0" distR="0" simplePos="0" relativeHeight="251659264" behindDoc="1" locked="0" layoutInCell="0" allowOverlap="1">
              <wp:simplePos x="0" y="0"/>
              <wp:positionH relativeFrom="margin">
                <wp:align>center</wp:align>
              </wp:positionH>
              <wp:positionV relativeFrom="paragraph">
                <wp:posOffset>62865</wp:posOffset>
              </wp:positionV>
              <wp:extent cx="191135" cy="217805"/>
              <wp:effectExtent l="0" t="0" r="0" b="0"/>
              <wp:wrapSquare wrapText="bothSides"/>
              <wp:docPr id="3" name="Frame2"/>
              <wp:cNvGraphicFramePr/>
              <a:graphic xmlns:a="http://schemas.openxmlformats.org/drawingml/2006/main">
                <a:graphicData uri="http://schemas.microsoft.com/office/word/2010/wordprocessingShape">
                  <wps:wsp>
                    <wps:cNvSpPr/>
                    <wps:spPr>
                      <a:xfrm>
                        <a:off x="0" y="0"/>
                        <a:ext cx="191160" cy="217800"/>
                      </a:xfrm>
                      <a:prstGeom prst="rect">
                        <a:avLst/>
                      </a:prstGeom>
                      <a:noFill/>
                      <a:ln w="0">
                        <a:noFill/>
                      </a:ln>
                    </wps:spPr>
                    <wps:style>
                      <a:lnRef idx="0">
                        <a:scrgbClr r="0" g="0" b="0"/>
                      </a:lnRef>
                      <a:fillRef idx="0">
                        <a:scrgbClr r="0" g="0" b="0"/>
                      </a:fillRef>
                      <a:effectRef idx="0">
                        <a:scrgbClr r="0" g="0" b="0"/>
                      </a:effectRef>
                      <a:fontRef idx="minor"/>
                    </wps:style>
                    <wps:txbx>
                      <w:txbxContent>
                        <w:p w14:paraId="4D2CF8BA">
                          <w:pPr>
                            <w:pStyle w:val="22"/>
                            <w:rPr>
                              <w:rStyle w:val="26"/>
                            </w:rPr>
                          </w:pPr>
                          <w:r>
                            <w:rPr>
                              <w:rStyle w:val="26"/>
                            </w:rPr>
                            <w:fldChar w:fldCharType="begin"/>
                          </w:r>
                          <w:r>
                            <w:rPr>
                              <w:rStyle w:val="26"/>
                            </w:rPr>
                            <w:instrText xml:space="preserve"> PAGE </w:instrText>
                          </w:r>
                          <w:r>
                            <w:rPr>
                              <w:rStyle w:val="26"/>
                            </w:rPr>
                            <w:fldChar w:fldCharType="separate"/>
                          </w:r>
                          <w:r>
                            <w:rPr>
                              <w:rStyle w:val="26"/>
                            </w:rPr>
                            <w:t>8</w:t>
                          </w:r>
                          <w:r>
                            <w:rPr>
                              <w:rStyle w:val="26"/>
                            </w:rPr>
                            <w:fldChar w:fldCharType="end"/>
                          </w:r>
                        </w:p>
                      </w:txbxContent>
                    </wps:txbx>
                    <wps:bodyPr lIns="0" tIns="0" rIns="0" bIns="0" anchor="t">
                      <a:spAutoFit/>
                    </wps:bodyPr>
                  </wps:wsp>
                </a:graphicData>
              </a:graphic>
            </wp:anchor>
          </w:drawing>
        </mc:Choice>
        <mc:Fallback>
          <w:pict>
            <v:rect id="Frame2" o:spid="_x0000_s1026" o:spt="1" style="position:absolute;left:0pt;margin-top:4.95pt;height:17.15pt;width:15.05pt;mso-position-horizontal:center;mso-position-horizontal-relative:margin;mso-wrap-distance-bottom:0pt;mso-wrap-distance-left:0pt;mso-wrap-distance-right:0pt;mso-wrap-distance-top:0pt;z-index:-251657216;mso-width-relative:page;mso-height-relative:page;" filled="f" stroked="f" coordsize="21600,21600" o:allowincell="f" o:gfxdata="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25tQKtAAAAAEAQAA&#10;DwAAAAAAAAABACAAAAAiAAAAZHJzL2Rvd25yZXYueG1sUEsBAhQAFAAAAAgAh07iQC7+8WavAQAA&#10;gQMAAA4AAAAAAAAAAQAgAAAAHwEAAGRycy9lMm9Eb2MueG1sUEsFBgAAAAAGAAYAWQEAAEAFAAAA&#10;AA==&#10;">
              <v:fill on="f" focussize="0,0"/>
              <v:stroke on="f" weight="0pt"/>
              <v:imagedata o:title=""/>
              <o:lock v:ext="edit" aspectratio="f"/>
              <v:textbox inset="0mm,0mm,0mm,0mm" style="mso-fit-shape-to-text:t;">
                <w:txbxContent>
                  <w:p w14:paraId="4D2CF8BA">
                    <w:pPr>
                      <w:pStyle w:val="22"/>
                      <w:rPr>
                        <w:rStyle w:val="26"/>
                      </w:rPr>
                    </w:pPr>
                    <w:r>
                      <w:rPr>
                        <w:rStyle w:val="26"/>
                      </w:rPr>
                      <w:fldChar w:fldCharType="begin"/>
                    </w:r>
                    <w:r>
                      <w:rPr>
                        <w:rStyle w:val="26"/>
                      </w:rPr>
                      <w:instrText xml:space="preserve"> PAGE </w:instrText>
                    </w:r>
                    <w:r>
                      <w:rPr>
                        <w:rStyle w:val="26"/>
                      </w:rPr>
                      <w:fldChar w:fldCharType="separate"/>
                    </w:r>
                    <w:r>
                      <w:rPr>
                        <w:rStyle w:val="26"/>
                      </w:rPr>
                      <w:t>8</w:t>
                    </w:r>
                    <w:r>
                      <w:rPr>
                        <w:rStyle w:val="26"/>
                      </w:rPr>
                      <w:fldChar w:fldCharType="end"/>
                    </w:r>
                  </w:p>
                </w:txbxContent>
              </v:textbox>
              <w10:wrap type="squar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33353">
    <w:pPr>
      <w:pStyle w:val="22"/>
    </w:pPr>
    <w:r>
      <mc:AlternateContent>
        <mc:Choice Requires="wps">
          <w:drawing>
            <wp:anchor distT="0" distB="0" distL="0" distR="0" simplePos="0" relativeHeight="251659264" behindDoc="1"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77F877CA">
                          <w:pPr>
                            <w:pStyle w:val="22"/>
                            <w:rPr>
                              <w:rStyle w:val="26"/>
                            </w:rPr>
                          </w:pPr>
                          <w:r>
                            <w:rPr>
                              <w:rStyle w:val="26"/>
                            </w:rPr>
                            <w:fldChar w:fldCharType="begin"/>
                          </w:r>
                          <w:r>
                            <w:rPr>
                              <w:rStyle w:val="26"/>
                            </w:rPr>
                            <w:instrText xml:space="preserve"> PAGE </w:instrText>
                          </w:r>
                          <w:r>
                            <w:rPr>
                              <w:rStyle w:val="26"/>
                            </w:rPr>
                            <w:fldChar w:fldCharType="separate"/>
                          </w:r>
                          <w:r>
                            <w:rPr>
                              <w:rStyle w:val="26"/>
                            </w:rPr>
                            <w:t>0</w:t>
                          </w:r>
                          <w:r>
                            <w:rPr>
                              <w:rStyle w:val="26"/>
                            </w:rPr>
                            <w:fldChar w:fldCharType="end"/>
                          </w:r>
                        </w:p>
                      </w:txbxContent>
                    </wps:txbx>
                    <wps:bodyPr lIns="0" tIns="0" rIns="0" bIns="0" anchor="t">
                      <a:spAutoFit/>
                    </wps:bodyPr>
                  </wps:wsp>
                </a:graphicData>
              </a:graphic>
            </wp:anchor>
          </w:drawing>
        </mc:Choice>
        <mc:Fallback>
          <w:pict>
            <v:rect id="Frame1" o:spid="_x0000_s1026" o:spt="1" style="position:absolute;left:0pt;margin-top:0.05pt;height:1.15pt;width:1.15pt;mso-position-horizontal:center;mso-position-horizontal-relative:margin;mso-wrap-distance-bottom:0pt;mso-wrap-distance-left:0pt;mso-wrap-distance-right:0pt;mso-wrap-distance-top:0pt;z-index:-251657216;mso-width-relative:page;mso-height-relative:page;" filled="f" stroked="f" coordsize="21600,21600" o:allowincell="f" o:gfxdata="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yAVFBzgAAAAEBAAAPAAAAAAAA&#10;AAEAIAAAACIAAABkcnMvZG93bnJldi54bWxQSwECFAAUAAAACACHTuJAuQmuNaoBAAB/AwAADgAA&#10;AAAAAAABACAAAAAdAQAAZHJzL2Uyb0RvYy54bWxQSwUGAAAAAAYABgBZAQAAOQUAAAAA&#10;">
              <v:fill on="f" focussize="0,0"/>
              <v:stroke on="f" weight="0pt"/>
              <v:imagedata o:title=""/>
              <o:lock v:ext="edit" aspectratio="f"/>
              <v:textbox inset="0mm,0mm,0mm,0mm" style="mso-fit-shape-to-text:t;">
                <w:txbxContent>
                  <w:p w14:paraId="77F877CA">
                    <w:pPr>
                      <w:pStyle w:val="22"/>
                      <w:rPr>
                        <w:rStyle w:val="26"/>
                      </w:rPr>
                    </w:pPr>
                    <w:r>
                      <w:rPr>
                        <w:rStyle w:val="26"/>
                      </w:rPr>
                      <w:fldChar w:fldCharType="begin"/>
                    </w:r>
                    <w:r>
                      <w:rPr>
                        <w:rStyle w:val="26"/>
                      </w:rPr>
                      <w:instrText xml:space="preserve"> PAGE </w:instrText>
                    </w:r>
                    <w:r>
                      <w:rPr>
                        <w:rStyle w:val="26"/>
                      </w:rPr>
                      <w:fldChar w:fldCharType="separate"/>
                    </w:r>
                    <w:r>
                      <w:rPr>
                        <w:rStyle w:val="26"/>
                      </w:rPr>
                      <w:t>0</w:t>
                    </w:r>
                    <w:r>
                      <w:rPr>
                        <w:rStyle w:val="26"/>
                      </w:rPr>
                      <w:fldChar w:fldCharType="end"/>
                    </w:r>
                  </w:p>
                </w:txbxContent>
              </v:textbox>
              <w10:wrap type="squar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3AD2D"/>
    <w:multiLevelType w:val="singleLevel"/>
    <w:tmpl w:val="D2B3AD2D"/>
    <w:lvl w:ilvl="0" w:tentative="0">
      <w:start w:val="5"/>
      <w:numFmt w:val="decimal"/>
      <w:suff w:val="space"/>
      <w:lvlText w:val="(%1)"/>
      <w:lvlJc w:val="left"/>
    </w:lvl>
  </w:abstractNum>
  <w:abstractNum w:abstractNumId="1">
    <w:nsid w:val="528F9730"/>
    <w:multiLevelType w:val="singleLevel"/>
    <w:tmpl w:val="528F9730"/>
    <w:lvl w:ilvl="0" w:tentative="0">
      <w:start w:val="4"/>
      <w:numFmt w:val="decimal"/>
      <w:suff w:val="space"/>
      <w:lvlText w:val="(%1)"/>
      <w:lvlJc w:val="left"/>
      <w:rPr>
        <w:rFonts w:hint="default"/>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autoHyphenation/>
  <w:displayHorizontalDrawingGridEvery w:val="1"/>
  <w:displayVerticalDrawingGridEvery w:val="1"/>
  <w:noPunctuationKerning w:val="1"/>
  <w:characterSpacingControl w:val="doNotCompress"/>
  <w:footnotePr>
    <w:footnote w:id="26"/>
    <w:footnote w:id="27"/>
  </w:foot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E67"/>
    <w:rsid w:val="000058B2"/>
    <w:rsid w:val="00013656"/>
    <w:rsid w:val="00041E06"/>
    <w:rsid w:val="00042546"/>
    <w:rsid w:val="00045A1F"/>
    <w:rsid w:val="00045D48"/>
    <w:rsid w:val="000553CE"/>
    <w:rsid w:val="00070586"/>
    <w:rsid w:val="00071615"/>
    <w:rsid w:val="000732CC"/>
    <w:rsid w:val="00081FA7"/>
    <w:rsid w:val="00085AC7"/>
    <w:rsid w:val="00091B84"/>
    <w:rsid w:val="00091E51"/>
    <w:rsid w:val="00092A74"/>
    <w:rsid w:val="000960CA"/>
    <w:rsid w:val="000A1A0B"/>
    <w:rsid w:val="000A28B6"/>
    <w:rsid w:val="000A422F"/>
    <w:rsid w:val="000A4CA0"/>
    <w:rsid w:val="000A4D6D"/>
    <w:rsid w:val="000C2622"/>
    <w:rsid w:val="000D017A"/>
    <w:rsid w:val="000D119F"/>
    <w:rsid w:val="000D19F6"/>
    <w:rsid w:val="000E2D6B"/>
    <w:rsid w:val="000E32ED"/>
    <w:rsid w:val="000E5A8D"/>
    <w:rsid w:val="000F4793"/>
    <w:rsid w:val="0010401C"/>
    <w:rsid w:val="00104B96"/>
    <w:rsid w:val="00110C5C"/>
    <w:rsid w:val="001119BD"/>
    <w:rsid w:val="00123002"/>
    <w:rsid w:val="00136B72"/>
    <w:rsid w:val="001449C0"/>
    <w:rsid w:val="00152A32"/>
    <w:rsid w:val="001560B9"/>
    <w:rsid w:val="00156481"/>
    <w:rsid w:val="001567C4"/>
    <w:rsid w:val="00160FE2"/>
    <w:rsid w:val="00162551"/>
    <w:rsid w:val="00163D33"/>
    <w:rsid w:val="00195F91"/>
    <w:rsid w:val="00196638"/>
    <w:rsid w:val="001A04AE"/>
    <w:rsid w:val="001A0AD5"/>
    <w:rsid w:val="001A7F98"/>
    <w:rsid w:val="001B50D8"/>
    <w:rsid w:val="001D0443"/>
    <w:rsid w:val="001D23BE"/>
    <w:rsid w:val="001E6814"/>
    <w:rsid w:val="001E73FA"/>
    <w:rsid w:val="001F731C"/>
    <w:rsid w:val="00203A83"/>
    <w:rsid w:val="00204FA4"/>
    <w:rsid w:val="002129FC"/>
    <w:rsid w:val="00215C32"/>
    <w:rsid w:val="00215E99"/>
    <w:rsid w:val="00222D8D"/>
    <w:rsid w:val="00222DEB"/>
    <w:rsid w:val="002260C0"/>
    <w:rsid w:val="002323D0"/>
    <w:rsid w:val="002413D3"/>
    <w:rsid w:val="00242B3C"/>
    <w:rsid w:val="00251764"/>
    <w:rsid w:val="00253EAF"/>
    <w:rsid w:val="00255B2E"/>
    <w:rsid w:val="00256CB1"/>
    <w:rsid w:val="00260E17"/>
    <w:rsid w:val="00262926"/>
    <w:rsid w:val="00272ECE"/>
    <w:rsid w:val="00273AE8"/>
    <w:rsid w:val="002753B8"/>
    <w:rsid w:val="002764A6"/>
    <w:rsid w:val="00280EDA"/>
    <w:rsid w:val="002849EF"/>
    <w:rsid w:val="00286DB3"/>
    <w:rsid w:val="00294660"/>
    <w:rsid w:val="002A3887"/>
    <w:rsid w:val="002B1ECE"/>
    <w:rsid w:val="002B1F90"/>
    <w:rsid w:val="002B242E"/>
    <w:rsid w:val="002C3E47"/>
    <w:rsid w:val="002C7DB5"/>
    <w:rsid w:val="002D0ADF"/>
    <w:rsid w:val="002E1675"/>
    <w:rsid w:val="002E540B"/>
    <w:rsid w:val="002E5506"/>
    <w:rsid w:val="002E6354"/>
    <w:rsid w:val="00300B12"/>
    <w:rsid w:val="003034EA"/>
    <w:rsid w:val="0030509C"/>
    <w:rsid w:val="003052F7"/>
    <w:rsid w:val="00307339"/>
    <w:rsid w:val="00317386"/>
    <w:rsid w:val="00327AC8"/>
    <w:rsid w:val="00334A6A"/>
    <w:rsid w:val="003357A4"/>
    <w:rsid w:val="00340BB2"/>
    <w:rsid w:val="00341837"/>
    <w:rsid w:val="00347183"/>
    <w:rsid w:val="00347E21"/>
    <w:rsid w:val="003506F5"/>
    <w:rsid w:val="003570BB"/>
    <w:rsid w:val="0036014F"/>
    <w:rsid w:val="00362E5C"/>
    <w:rsid w:val="00365110"/>
    <w:rsid w:val="00367707"/>
    <w:rsid w:val="00371324"/>
    <w:rsid w:val="003714C8"/>
    <w:rsid w:val="00371889"/>
    <w:rsid w:val="0037279C"/>
    <w:rsid w:val="00374550"/>
    <w:rsid w:val="00381818"/>
    <w:rsid w:val="00383C4A"/>
    <w:rsid w:val="00384383"/>
    <w:rsid w:val="00386B8D"/>
    <w:rsid w:val="00387347"/>
    <w:rsid w:val="00391C94"/>
    <w:rsid w:val="00397C32"/>
    <w:rsid w:val="003A5AD3"/>
    <w:rsid w:val="003A7F28"/>
    <w:rsid w:val="003B147A"/>
    <w:rsid w:val="003B7A77"/>
    <w:rsid w:val="003C610C"/>
    <w:rsid w:val="003D615B"/>
    <w:rsid w:val="003E20BD"/>
    <w:rsid w:val="003E4460"/>
    <w:rsid w:val="003E4737"/>
    <w:rsid w:val="003E691D"/>
    <w:rsid w:val="00406938"/>
    <w:rsid w:val="004102D9"/>
    <w:rsid w:val="004122D9"/>
    <w:rsid w:val="0041402B"/>
    <w:rsid w:val="00417B7F"/>
    <w:rsid w:val="00422A81"/>
    <w:rsid w:val="00424364"/>
    <w:rsid w:val="00425822"/>
    <w:rsid w:val="00430432"/>
    <w:rsid w:val="004322A8"/>
    <w:rsid w:val="00436261"/>
    <w:rsid w:val="004402AA"/>
    <w:rsid w:val="004478D6"/>
    <w:rsid w:val="00447E6F"/>
    <w:rsid w:val="00450A4C"/>
    <w:rsid w:val="0045129E"/>
    <w:rsid w:val="0045648B"/>
    <w:rsid w:val="00463A07"/>
    <w:rsid w:val="004662AF"/>
    <w:rsid w:val="0048259A"/>
    <w:rsid w:val="00483AEF"/>
    <w:rsid w:val="00496D7C"/>
    <w:rsid w:val="00497A0E"/>
    <w:rsid w:val="004A036E"/>
    <w:rsid w:val="004A0E48"/>
    <w:rsid w:val="004B1949"/>
    <w:rsid w:val="004B296C"/>
    <w:rsid w:val="004B380B"/>
    <w:rsid w:val="004C0B6F"/>
    <w:rsid w:val="004C282E"/>
    <w:rsid w:val="004D47CE"/>
    <w:rsid w:val="004E0B4A"/>
    <w:rsid w:val="004E39EE"/>
    <w:rsid w:val="004F2F57"/>
    <w:rsid w:val="004F60CF"/>
    <w:rsid w:val="00500BB8"/>
    <w:rsid w:val="005042F0"/>
    <w:rsid w:val="005147F6"/>
    <w:rsid w:val="00515648"/>
    <w:rsid w:val="00517AE4"/>
    <w:rsid w:val="00521D05"/>
    <w:rsid w:val="005252E8"/>
    <w:rsid w:val="0052628E"/>
    <w:rsid w:val="00532FD1"/>
    <w:rsid w:val="0054279C"/>
    <w:rsid w:val="005449C7"/>
    <w:rsid w:val="00546DAA"/>
    <w:rsid w:val="005576EE"/>
    <w:rsid w:val="00563E42"/>
    <w:rsid w:val="005939EE"/>
    <w:rsid w:val="00596B12"/>
    <w:rsid w:val="005A6CF1"/>
    <w:rsid w:val="005B01B0"/>
    <w:rsid w:val="005B0FCF"/>
    <w:rsid w:val="005B2F65"/>
    <w:rsid w:val="005C0368"/>
    <w:rsid w:val="005C084D"/>
    <w:rsid w:val="005C2B5C"/>
    <w:rsid w:val="005D2954"/>
    <w:rsid w:val="005D6601"/>
    <w:rsid w:val="005D697C"/>
    <w:rsid w:val="005E18C0"/>
    <w:rsid w:val="005E2E59"/>
    <w:rsid w:val="005E67CE"/>
    <w:rsid w:val="005F03BA"/>
    <w:rsid w:val="005F14D4"/>
    <w:rsid w:val="005F281B"/>
    <w:rsid w:val="005F55AD"/>
    <w:rsid w:val="00601589"/>
    <w:rsid w:val="006029D1"/>
    <w:rsid w:val="00610846"/>
    <w:rsid w:val="00612668"/>
    <w:rsid w:val="00614C4F"/>
    <w:rsid w:val="00622EC9"/>
    <w:rsid w:val="00624AC6"/>
    <w:rsid w:val="00624DE0"/>
    <w:rsid w:val="006253AF"/>
    <w:rsid w:val="0062577B"/>
    <w:rsid w:val="00626636"/>
    <w:rsid w:val="006309EE"/>
    <w:rsid w:val="00633904"/>
    <w:rsid w:val="00633987"/>
    <w:rsid w:val="00634A74"/>
    <w:rsid w:val="00635416"/>
    <w:rsid w:val="0064402D"/>
    <w:rsid w:val="00657BB5"/>
    <w:rsid w:val="00661B21"/>
    <w:rsid w:val="00661D10"/>
    <w:rsid w:val="0067188B"/>
    <w:rsid w:val="00683693"/>
    <w:rsid w:val="00685F00"/>
    <w:rsid w:val="00686BCD"/>
    <w:rsid w:val="00690C6E"/>
    <w:rsid w:val="006924F3"/>
    <w:rsid w:val="00694493"/>
    <w:rsid w:val="006A0F54"/>
    <w:rsid w:val="006A5419"/>
    <w:rsid w:val="006B3C49"/>
    <w:rsid w:val="006B3D87"/>
    <w:rsid w:val="006C5337"/>
    <w:rsid w:val="006D1C81"/>
    <w:rsid w:val="006E483B"/>
    <w:rsid w:val="006F0262"/>
    <w:rsid w:val="00700DD3"/>
    <w:rsid w:val="00702146"/>
    <w:rsid w:val="007074B5"/>
    <w:rsid w:val="0071164C"/>
    <w:rsid w:val="00712896"/>
    <w:rsid w:val="00716E95"/>
    <w:rsid w:val="00717CC4"/>
    <w:rsid w:val="00725D93"/>
    <w:rsid w:val="00731F13"/>
    <w:rsid w:val="00734ED2"/>
    <w:rsid w:val="00737ED8"/>
    <w:rsid w:val="007524A2"/>
    <w:rsid w:val="0075620F"/>
    <w:rsid w:val="00761C8E"/>
    <w:rsid w:val="007649B9"/>
    <w:rsid w:val="00767961"/>
    <w:rsid w:val="00773D65"/>
    <w:rsid w:val="00777130"/>
    <w:rsid w:val="00785C89"/>
    <w:rsid w:val="007A15C7"/>
    <w:rsid w:val="007A383C"/>
    <w:rsid w:val="007A64A7"/>
    <w:rsid w:val="007A7A48"/>
    <w:rsid w:val="007B3370"/>
    <w:rsid w:val="007C6A55"/>
    <w:rsid w:val="007C7080"/>
    <w:rsid w:val="007D42E9"/>
    <w:rsid w:val="007E35AB"/>
    <w:rsid w:val="007F4CEC"/>
    <w:rsid w:val="00802BE7"/>
    <w:rsid w:val="00803587"/>
    <w:rsid w:val="0080750F"/>
    <w:rsid w:val="00816534"/>
    <w:rsid w:val="00816B37"/>
    <w:rsid w:val="00816DFF"/>
    <w:rsid w:val="00824A9A"/>
    <w:rsid w:val="00824CF2"/>
    <w:rsid w:val="00830343"/>
    <w:rsid w:val="00832F76"/>
    <w:rsid w:val="008359EC"/>
    <w:rsid w:val="00837392"/>
    <w:rsid w:val="008414B1"/>
    <w:rsid w:val="00841F1E"/>
    <w:rsid w:val="00851344"/>
    <w:rsid w:val="008513C0"/>
    <w:rsid w:val="00857D42"/>
    <w:rsid w:val="008658BE"/>
    <w:rsid w:val="00887331"/>
    <w:rsid w:val="008973C8"/>
    <w:rsid w:val="008A11F9"/>
    <w:rsid w:val="008A375B"/>
    <w:rsid w:val="008A3FF4"/>
    <w:rsid w:val="008B6525"/>
    <w:rsid w:val="008B677E"/>
    <w:rsid w:val="008C4393"/>
    <w:rsid w:val="008D41F1"/>
    <w:rsid w:val="008E1481"/>
    <w:rsid w:val="008F6B43"/>
    <w:rsid w:val="00904B02"/>
    <w:rsid w:val="0090562C"/>
    <w:rsid w:val="0091165C"/>
    <w:rsid w:val="0091260A"/>
    <w:rsid w:val="009135F6"/>
    <w:rsid w:val="0091445B"/>
    <w:rsid w:val="0091505A"/>
    <w:rsid w:val="00915E95"/>
    <w:rsid w:val="00920982"/>
    <w:rsid w:val="00921ED8"/>
    <w:rsid w:val="00923769"/>
    <w:rsid w:val="00925E46"/>
    <w:rsid w:val="009263A9"/>
    <w:rsid w:val="00930E44"/>
    <w:rsid w:val="009312D6"/>
    <w:rsid w:val="00932BD7"/>
    <w:rsid w:val="0093711C"/>
    <w:rsid w:val="00940F83"/>
    <w:rsid w:val="009474AE"/>
    <w:rsid w:val="00953EFA"/>
    <w:rsid w:val="00961969"/>
    <w:rsid w:val="009654D5"/>
    <w:rsid w:val="00965649"/>
    <w:rsid w:val="00965D3A"/>
    <w:rsid w:val="009677A7"/>
    <w:rsid w:val="009722D9"/>
    <w:rsid w:val="00980A08"/>
    <w:rsid w:val="009851CD"/>
    <w:rsid w:val="0098599E"/>
    <w:rsid w:val="009A00E5"/>
    <w:rsid w:val="009A1678"/>
    <w:rsid w:val="009A39B6"/>
    <w:rsid w:val="009A51E2"/>
    <w:rsid w:val="009A61DC"/>
    <w:rsid w:val="009A6FF9"/>
    <w:rsid w:val="009B247E"/>
    <w:rsid w:val="009C18F3"/>
    <w:rsid w:val="009C43C6"/>
    <w:rsid w:val="009C49E1"/>
    <w:rsid w:val="009D45EF"/>
    <w:rsid w:val="009D5CCB"/>
    <w:rsid w:val="009D6E4E"/>
    <w:rsid w:val="009E58E6"/>
    <w:rsid w:val="009E7C4F"/>
    <w:rsid w:val="00A0054B"/>
    <w:rsid w:val="00A01043"/>
    <w:rsid w:val="00A11E19"/>
    <w:rsid w:val="00A1460A"/>
    <w:rsid w:val="00A22D0E"/>
    <w:rsid w:val="00A30C00"/>
    <w:rsid w:val="00A37059"/>
    <w:rsid w:val="00A407F7"/>
    <w:rsid w:val="00A4228E"/>
    <w:rsid w:val="00A426E3"/>
    <w:rsid w:val="00A42D28"/>
    <w:rsid w:val="00A43BC8"/>
    <w:rsid w:val="00A45338"/>
    <w:rsid w:val="00A53909"/>
    <w:rsid w:val="00A63251"/>
    <w:rsid w:val="00A66C1D"/>
    <w:rsid w:val="00A70558"/>
    <w:rsid w:val="00A74A2A"/>
    <w:rsid w:val="00A83663"/>
    <w:rsid w:val="00AB23BC"/>
    <w:rsid w:val="00AB493A"/>
    <w:rsid w:val="00AB76E2"/>
    <w:rsid w:val="00AC4F24"/>
    <w:rsid w:val="00AC5850"/>
    <w:rsid w:val="00AC65F8"/>
    <w:rsid w:val="00AC7AC5"/>
    <w:rsid w:val="00AD17C6"/>
    <w:rsid w:val="00AE6340"/>
    <w:rsid w:val="00AF65AF"/>
    <w:rsid w:val="00B00FAA"/>
    <w:rsid w:val="00B01377"/>
    <w:rsid w:val="00B03D52"/>
    <w:rsid w:val="00B055E1"/>
    <w:rsid w:val="00B06830"/>
    <w:rsid w:val="00B105E7"/>
    <w:rsid w:val="00B15ED0"/>
    <w:rsid w:val="00B17ED6"/>
    <w:rsid w:val="00B2098E"/>
    <w:rsid w:val="00B26911"/>
    <w:rsid w:val="00B27103"/>
    <w:rsid w:val="00B30E81"/>
    <w:rsid w:val="00B315A6"/>
    <w:rsid w:val="00B349F8"/>
    <w:rsid w:val="00B36DD9"/>
    <w:rsid w:val="00B44E18"/>
    <w:rsid w:val="00B45B5B"/>
    <w:rsid w:val="00B46B83"/>
    <w:rsid w:val="00B51900"/>
    <w:rsid w:val="00B570C4"/>
    <w:rsid w:val="00B60536"/>
    <w:rsid w:val="00B61C1D"/>
    <w:rsid w:val="00B667D4"/>
    <w:rsid w:val="00B74755"/>
    <w:rsid w:val="00B812BE"/>
    <w:rsid w:val="00B84152"/>
    <w:rsid w:val="00B8451D"/>
    <w:rsid w:val="00B85348"/>
    <w:rsid w:val="00BA1125"/>
    <w:rsid w:val="00BA4595"/>
    <w:rsid w:val="00BA581C"/>
    <w:rsid w:val="00BB20B4"/>
    <w:rsid w:val="00BB3301"/>
    <w:rsid w:val="00BB6DFD"/>
    <w:rsid w:val="00BD3CCC"/>
    <w:rsid w:val="00BD65C3"/>
    <w:rsid w:val="00BD7064"/>
    <w:rsid w:val="00BE4057"/>
    <w:rsid w:val="00C0126A"/>
    <w:rsid w:val="00C02362"/>
    <w:rsid w:val="00C03C09"/>
    <w:rsid w:val="00C04059"/>
    <w:rsid w:val="00C06631"/>
    <w:rsid w:val="00C07661"/>
    <w:rsid w:val="00C104AA"/>
    <w:rsid w:val="00C12D7D"/>
    <w:rsid w:val="00C17A92"/>
    <w:rsid w:val="00C30DF3"/>
    <w:rsid w:val="00C6114B"/>
    <w:rsid w:val="00C64A5F"/>
    <w:rsid w:val="00C654A0"/>
    <w:rsid w:val="00C70F43"/>
    <w:rsid w:val="00C73A5D"/>
    <w:rsid w:val="00C75F17"/>
    <w:rsid w:val="00C768D0"/>
    <w:rsid w:val="00C76A31"/>
    <w:rsid w:val="00C83CEE"/>
    <w:rsid w:val="00C85930"/>
    <w:rsid w:val="00C87419"/>
    <w:rsid w:val="00C92F57"/>
    <w:rsid w:val="00C97BB4"/>
    <w:rsid w:val="00CA676F"/>
    <w:rsid w:val="00CA7944"/>
    <w:rsid w:val="00CB0DAF"/>
    <w:rsid w:val="00CB0E54"/>
    <w:rsid w:val="00CB427B"/>
    <w:rsid w:val="00CB55DA"/>
    <w:rsid w:val="00CC5DC8"/>
    <w:rsid w:val="00CD0056"/>
    <w:rsid w:val="00CD04AD"/>
    <w:rsid w:val="00CD1193"/>
    <w:rsid w:val="00CE26F9"/>
    <w:rsid w:val="00CE5717"/>
    <w:rsid w:val="00CF0971"/>
    <w:rsid w:val="00CF3825"/>
    <w:rsid w:val="00CF4A4C"/>
    <w:rsid w:val="00D004E8"/>
    <w:rsid w:val="00D030DE"/>
    <w:rsid w:val="00D05670"/>
    <w:rsid w:val="00D05C97"/>
    <w:rsid w:val="00D11F37"/>
    <w:rsid w:val="00D1363E"/>
    <w:rsid w:val="00D157AC"/>
    <w:rsid w:val="00D24C27"/>
    <w:rsid w:val="00D27D75"/>
    <w:rsid w:val="00D34890"/>
    <w:rsid w:val="00D36514"/>
    <w:rsid w:val="00D40FE3"/>
    <w:rsid w:val="00D44D60"/>
    <w:rsid w:val="00D460D1"/>
    <w:rsid w:val="00D50E9C"/>
    <w:rsid w:val="00D5231A"/>
    <w:rsid w:val="00D52887"/>
    <w:rsid w:val="00D5371F"/>
    <w:rsid w:val="00D72C52"/>
    <w:rsid w:val="00D748BF"/>
    <w:rsid w:val="00D80DBC"/>
    <w:rsid w:val="00D81721"/>
    <w:rsid w:val="00D84623"/>
    <w:rsid w:val="00D872D2"/>
    <w:rsid w:val="00D917D5"/>
    <w:rsid w:val="00D91CEA"/>
    <w:rsid w:val="00D9221C"/>
    <w:rsid w:val="00D924F0"/>
    <w:rsid w:val="00DA117E"/>
    <w:rsid w:val="00DA5A9C"/>
    <w:rsid w:val="00DB6893"/>
    <w:rsid w:val="00DB68C1"/>
    <w:rsid w:val="00DC2404"/>
    <w:rsid w:val="00DD3357"/>
    <w:rsid w:val="00DF1F0C"/>
    <w:rsid w:val="00DF2E2A"/>
    <w:rsid w:val="00DF4F53"/>
    <w:rsid w:val="00DF7682"/>
    <w:rsid w:val="00DF7EAB"/>
    <w:rsid w:val="00E00F23"/>
    <w:rsid w:val="00E03C92"/>
    <w:rsid w:val="00E1221B"/>
    <w:rsid w:val="00E1518D"/>
    <w:rsid w:val="00E2512C"/>
    <w:rsid w:val="00E328EA"/>
    <w:rsid w:val="00E33013"/>
    <w:rsid w:val="00E52DED"/>
    <w:rsid w:val="00E622DA"/>
    <w:rsid w:val="00E64B32"/>
    <w:rsid w:val="00E67F66"/>
    <w:rsid w:val="00E7027A"/>
    <w:rsid w:val="00E74E97"/>
    <w:rsid w:val="00E76E18"/>
    <w:rsid w:val="00E84ADB"/>
    <w:rsid w:val="00EA08C2"/>
    <w:rsid w:val="00EA1A5C"/>
    <w:rsid w:val="00EA3165"/>
    <w:rsid w:val="00EB43CD"/>
    <w:rsid w:val="00EC2988"/>
    <w:rsid w:val="00ED09B4"/>
    <w:rsid w:val="00ED289C"/>
    <w:rsid w:val="00ED40C5"/>
    <w:rsid w:val="00ED6127"/>
    <w:rsid w:val="00EE0867"/>
    <w:rsid w:val="00EE1BED"/>
    <w:rsid w:val="00EF0AA2"/>
    <w:rsid w:val="00EF275B"/>
    <w:rsid w:val="00EF6206"/>
    <w:rsid w:val="00F02113"/>
    <w:rsid w:val="00F055F7"/>
    <w:rsid w:val="00F10F1D"/>
    <w:rsid w:val="00F2177A"/>
    <w:rsid w:val="00F22110"/>
    <w:rsid w:val="00F355F7"/>
    <w:rsid w:val="00F40C94"/>
    <w:rsid w:val="00F439DF"/>
    <w:rsid w:val="00F458DF"/>
    <w:rsid w:val="00F50505"/>
    <w:rsid w:val="00F541BF"/>
    <w:rsid w:val="00F55C59"/>
    <w:rsid w:val="00F63E33"/>
    <w:rsid w:val="00F6515B"/>
    <w:rsid w:val="00F661C8"/>
    <w:rsid w:val="00F73448"/>
    <w:rsid w:val="00F77587"/>
    <w:rsid w:val="00F7794B"/>
    <w:rsid w:val="00F81EC0"/>
    <w:rsid w:val="00F83E62"/>
    <w:rsid w:val="00F84FBB"/>
    <w:rsid w:val="00F85E28"/>
    <w:rsid w:val="00F864D9"/>
    <w:rsid w:val="00F91106"/>
    <w:rsid w:val="00F9170C"/>
    <w:rsid w:val="00F94ADC"/>
    <w:rsid w:val="00F96272"/>
    <w:rsid w:val="00F96E67"/>
    <w:rsid w:val="00FB11C7"/>
    <w:rsid w:val="00FB34D9"/>
    <w:rsid w:val="00FB3A8C"/>
    <w:rsid w:val="00FB7B5C"/>
    <w:rsid w:val="00FD02A1"/>
    <w:rsid w:val="00FE5896"/>
    <w:rsid w:val="00FE6596"/>
    <w:rsid w:val="00FE72AC"/>
    <w:rsid w:val="00FF2814"/>
    <w:rsid w:val="00FF2EB6"/>
    <w:rsid w:val="069A174F"/>
    <w:rsid w:val="108075A1"/>
    <w:rsid w:val="1255519F"/>
    <w:rsid w:val="19921A29"/>
    <w:rsid w:val="37F741E2"/>
    <w:rsid w:val="419E0E3C"/>
    <w:rsid w:val="49E767FC"/>
    <w:rsid w:val="4C7D6B0F"/>
    <w:rsid w:val="53461010"/>
    <w:rsid w:val="5C95073A"/>
    <w:rsid w:val="69B2051B"/>
    <w:rsid w:val="6ADF2F9F"/>
    <w:rsid w:val="73B47807"/>
    <w:rsid w:val="7D614BD9"/>
  </w:rsids>
  <m:mathPr>
    <m:mathFont m:val="Cambria Math"/>
    <m:brkBin m:val="before"/>
    <m:brkBinSub m:val="--"/>
    <m:smallFrac m:val="0"/>
    <m:dispDef/>
    <m:lMargin m:val="0"/>
    <m:rMargin m:val="0"/>
    <m:defJc m:val="centerGroup"/>
    <m:wrapIndent m:val="1440"/>
    <m:intLim m:val="subSup"/>
    <m:naryLim m:val="undOvr"/>
  </m:mathPr>
  <w:themeFontLang w:val="vi-VN"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qFormat="1" w:unhideWhenUsed="0" w:uiPriority="99" w:semiHidden="0" w:name="page number"/>
    <w:lsdException w:qFormat="1" w:unhideWhenUsed="0" w:uiPriority="0" w:semiHidden="0"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val="0"/>
    </w:pPr>
    <w:rPr>
      <w:rFonts w:ascii="Times New Roman" w:hAnsi="Times New Roman" w:eastAsia="Times New Roman" w:cs="Times New Roman"/>
      <w:sz w:val="24"/>
      <w:szCs w:val="24"/>
      <w:lang w:val="en-US" w:eastAsia="en-US" w:bidi="ar-SA"/>
    </w:rPr>
  </w:style>
  <w:style w:type="paragraph" w:styleId="2">
    <w:name w:val="heading 1"/>
    <w:basedOn w:val="1"/>
    <w:next w:val="1"/>
    <w:link w:val="49"/>
    <w:qFormat/>
    <w:uiPriority w:val="9"/>
    <w:pPr>
      <w:keepNext/>
      <w:keepLines/>
      <w:spacing w:before="24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52"/>
    <w:unhideWhenUsed/>
    <w:qFormat/>
    <w:uiPriority w:val="9"/>
    <w:pPr>
      <w:keepNext/>
      <w:keepLines/>
      <w:spacing w:before="200"/>
      <w:outlineLvl w:val="1"/>
    </w:pPr>
    <w:rPr>
      <w:rFonts w:asciiTheme="majorHAnsi" w:hAnsiTheme="majorHAnsi" w:eastAsiaTheme="majorEastAsia" w:cstheme="majorBidi"/>
      <w:b/>
      <w:bCs/>
      <w:color w:val="4472C4" w:themeColor="accent1"/>
      <w:sz w:val="26"/>
      <w:szCs w:val="26"/>
      <w14:textFill>
        <w14:solidFill>
          <w14:schemeClr w14:val="accent1"/>
        </w14:solidFill>
      </w14:textFill>
    </w:rPr>
  </w:style>
  <w:style w:type="paragraph" w:styleId="4">
    <w:name w:val="heading 3"/>
    <w:basedOn w:val="1"/>
    <w:next w:val="1"/>
    <w:link w:val="48"/>
    <w:qFormat/>
    <w:uiPriority w:val="9"/>
    <w:pPr>
      <w:keepNext/>
      <w:ind w:firstLine="720"/>
      <w:jc w:val="both"/>
      <w:outlineLvl w:val="2"/>
    </w:pPr>
    <w:rPr>
      <w:b/>
      <w:sz w:val="28"/>
      <w:szCs w:val="20"/>
      <w:lang w:val="vi-VN"/>
    </w:rPr>
  </w:style>
  <w:style w:type="paragraph" w:styleId="5">
    <w:name w:val="heading 4"/>
    <w:basedOn w:val="1"/>
    <w:next w:val="1"/>
    <w:link w:val="67"/>
    <w:semiHidden/>
    <w:unhideWhenUsed/>
    <w:qFormat/>
    <w:uiPriority w:val="9"/>
    <w:pPr>
      <w:keepNext/>
      <w:keepLines/>
      <w:spacing w:before="40"/>
      <w:outlineLvl w:val="3"/>
    </w:pPr>
    <w:rPr>
      <w:rFonts w:asciiTheme="majorHAnsi" w:hAnsiTheme="majorHAnsi" w:eastAsiaTheme="majorEastAsia" w:cstheme="majorBidi"/>
      <w:i/>
      <w:iCs/>
      <w:color w:val="2F5597" w:themeColor="accent1" w:themeShade="BF"/>
    </w:rPr>
  </w:style>
  <w:style w:type="paragraph" w:styleId="6">
    <w:name w:val="heading 5"/>
    <w:basedOn w:val="1"/>
    <w:next w:val="1"/>
    <w:link w:val="68"/>
    <w:semiHidden/>
    <w:unhideWhenUsed/>
    <w:qFormat/>
    <w:uiPriority w:val="9"/>
    <w:pPr>
      <w:keepNext/>
      <w:keepLines/>
      <w:spacing w:before="40"/>
      <w:outlineLvl w:val="4"/>
    </w:pPr>
    <w:rPr>
      <w:rFonts w:asciiTheme="majorHAnsi" w:hAnsiTheme="majorHAnsi" w:eastAsiaTheme="majorEastAsia" w:cstheme="majorBidi"/>
      <w:color w:val="2F5597" w:themeColor="accent1" w:themeShade="BF"/>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43"/>
    <w:semiHidden/>
    <w:unhideWhenUsed/>
    <w:qFormat/>
    <w:uiPriority w:val="99"/>
    <w:rPr>
      <w:rFonts w:ascii="Segoe UI" w:hAnsi="Segoe UI" w:cs="Segoe UI"/>
      <w:sz w:val="18"/>
      <w:szCs w:val="18"/>
    </w:rPr>
  </w:style>
  <w:style w:type="paragraph" w:styleId="10">
    <w:name w:val="Body Text"/>
    <w:basedOn w:val="1"/>
    <w:link w:val="39"/>
    <w:unhideWhenUsed/>
    <w:qFormat/>
    <w:uiPriority w:val="99"/>
    <w:pPr>
      <w:spacing w:after="120"/>
    </w:pPr>
  </w:style>
  <w:style w:type="paragraph" w:styleId="11">
    <w:name w:val="Body Text 2"/>
    <w:basedOn w:val="1"/>
    <w:link w:val="36"/>
    <w:qFormat/>
    <w:uiPriority w:val="99"/>
    <w:pPr>
      <w:spacing w:after="120" w:line="480" w:lineRule="auto"/>
    </w:pPr>
    <w:rPr>
      <w:sz w:val="28"/>
      <w:szCs w:val="28"/>
      <w:lang w:val="zh-CN" w:eastAsia="zh-CN"/>
    </w:rPr>
  </w:style>
  <w:style w:type="paragraph" w:styleId="12">
    <w:name w:val="Body Text Indent 3"/>
    <w:basedOn w:val="1"/>
    <w:link w:val="34"/>
    <w:qFormat/>
    <w:uiPriority w:val="0"/>
    <w:pPr>
      <w:spacing w:after="120"/>
      <w:ind w:left="360"/>
    </w:pPr>
    <w:rPr>
      <w:sz w:val="16"/>
      <w:szCs w:val="16"/>
    </w:rPr>
  </w:style>
  <w:style w:type="paragraph" w:styleId="13">
    <w:name w:val="caption"/>
    <w:basedOn w:val="1"/>
    <w:qFormat/>
    <w:uiPriority w:val="0"/>
    <w:pPr>
      <w:suppressLineNumbers/>
      <w:spacing w:before="120" w:after="120"/>
    </w:pPr>
    <w:rPr>
      <w:rFonts w:cs="Noto Sans Devanagari"/>
      <w:i/>
      <w:iCs/>
    </w:rPr>
  </w:style>
  <w:style w:type="character" w:styleId="14">
    <w:name w:val="annotation reference"/>
    <w:basedOn w:val="7"/>
    <w:semiHidden/>
    <w:unhideWhenUsed/>
    <w:qFormat/>
    <w:uiPriority w:val="99"/>
    <w:rPr>
      <w:sz w:val="16"/>
      <w:szCs w:val="16"/>
    </w:rPr>
  </w:style>
  <w:style w:type="paragraph" w:styleId="15">
    <w:name w:val="annotation text"/>
    <w:basedOn w:val="1"/>
    <w:link w:val="44"/>
    <w:unhideWhenUsed/>
    <w:qFormat/>
    <w:uiPriority w:val="99"/>
    <w:rPr>
      <w:sz w:val="20"/>
      <w:szCs w:val="20"/>
    </w:rPr>
  </w:style>
  <w:style w:type="paragraph" w:styleId="16">
    <w:name w:val="annotation subject"/>
    <w:basedOn w:val="15"/>
    <w:next w:val="15"/>
    <w:link w:val="45"/>
    <w:semiHidden/>
    <w:unhideWhenUsed/>
    <w:qFormat/>
    <w:uiPriority w:val="99"/>
    <w:rPr>
      <w:b/>
      <w:bCs/>
    </w:rPr>
  </w:style>
  <w:style w:type="character" w:styleId="17">
    <w:name w:val="Emphasis"/>
    <w:qFormat/>
    <w:uiPriority w:val="20"/>
    <w:rPr>
      <w:i/>
      <w:iCs/>
    </w:rPr>
  </w:style>
  <w:style w:type="character" w:styleId="18">
    <w:name w:val="endnote reference"/>
    <w:qFormat/>
    <w:uiPriority w:val="0"/>
    <w:rPr>
      <w:vertAlign w:val="superscript"/>
    </w:rPr>
  </w:style>
  <w:style w:type="paragraph" w:styleId="19">
    <w:name w:val="footer"/>
    <w:basedOn w:val="1"/>
    <w:link w:val="33"/>
    <w:qFormat/>
    <w:uiPriority w:val="0"/>
    <w:pPr>
      <w:tabs>
        <w:tab w:val="center" w:pos="4320"/>
        <w:tab w:val="right" w:pos="8640"/>
      </w:tabs>
    </w:pPr>
  </w:style>
  <w:style w:type="character" w:styleId="20">
    <w:name w:val="footnote reference"/>
    <w:qFormat/>
    <w:uiPriority w:val="0"/>
    <w:rPr>
      <w:vertAlign w:val="superscript"/>
    </w:rPr>
  </w:style>
  <w:style w:type="paragraph" w:styleId="21">
    <w:name w:val="footnote text"/>
    <w:basedOn w:val="1"/>
    <w:link w:val="29"/>
    <w:qFormat/>
    <w:uiPriority w:val="99"/>
    <w:rPr>
      <w:sz w:val="20"/>
      <w:szCs w:val="20"/>
    </w:rPr>
  </w:style>
  <w:style w:type="paragraph" w:styleId="22">
    <w:name w:val="header"/>
    <w:basedOn w:val="1"/>
    <w:link w:val="35"/>
    <w:qFormat/>
    <w:uiPriority w:val="0"/>
    <w:pPr>
      <w:tabs>
        <w:tab w:val="center" w:pos="4320"/>
        <w:tab w:val="right" w:pos="8640"/>
      </w:tabs>
    </w:pPr>
  </w:style>
  <w:style w:type="character" w:styleId="23">
    <w:name w:val="Hyperlink"/>
    <w:basedOn w:val="7"/>
    <w:unhideWhenUsed/>
    <w:qFormat/>
    <w:uiPriority w:val="99"/>
    <w:rPr>
      <w:color w:val="0563C1" w:themeColor="hyperlink"/>
      <w:u w:val="single"/>
      <w14:textFill>
        <w14:solidFill>
          <w14:schemeClr w14:val="hlink"/>
        </w14:solidFill>
      </w14:textFill>
    </w:rPr>
  </w:style>
  <w:style w:type="paragraph" w:styleId="24">
    <w:name w:val="List"/>
    <w:basedOn w:val="10"/>
    <w:qFormat/>
    <w:uiPriority w:val="0"/>
    <w:rPr>
      <w:rFonts w:cs="Noto Sans Devanagari"/>
    </w:rPr>
  </w:style>
  <w:style w:type="paragraph" w:styleId="25">
    <w:name w:val="Normal (Web)"/>
    <w:basedOn w:val="1"/>
    <w:qFormat/>
    <w:uiPriority w:val="99"/>
    <w:pPr>
      <w:spacing w:beforeAutospacing="1" w:afterAutospacing="1"/>
    </w:pPr>
  </w:style>
  <w:style w:type="character" w:styleId="26">
    <w:name w:val="page number"/>
    <w:basedOn w:val="7"/>
    <w:qFormat/>
    <w:uiPriority w:val="99"/>
  </w:style>
  <w:style w:type="character" w:styleId="27">
    <w:name w:val="Strong"/>
    <w:qFormat/>
    <w:uiPriority w:val="22"/>
    <w:rPr>
      <w:b/>
      <w:bCs/>
    </w:rPr>
  </w:style>
  <w:style w:type="table" w:styleId="28">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9">
    <w:name w:val="Footnote Text Char"/>
    <w:basedOn w:val="7"/>
    <w:link w:val="21"/>
    <w:qFormat/>
    <w:uiPriority w:val="99"/>
    <w:rPr>
      <w:rFonts w:eastAsia="Times New Roman" w:cs="Times New Roman"/>
      <w:sz w:val="20"/>
      <w:szCs w:val="20"/>
      <w:lang w:val="en-US"/>
    </w:rPr>
  </w:style>
  <w:style w:type="character" w:customStyle="1" w:styleId="30">
    <w:name w:val="Footnote Characters (user)"/>
    <w:link w:val="31"/>
    <w:qFormat/>
    <w:uiPriority w:val="0"/>
    <w:rPr>
      <w:vertAlign w:val="superscript"/>
    </w:rPr>
  </w:style>
  <w:style w:type="paragraph" w:customStyle="1" w:styleId="31">
    <w:name w:val="Footnote Text11"/>
    <w:basedOn w:val="1"/>
    <w:next w:val="1"/>
    <w:link w:val="30"/>
    <w:qFormat/>
    <w:uiPriority w:val="0"/>
    <w:pPr>
      <w:spacing w:after="160" w:line="240" w:lineRule="exact"/>
    </w:pPr>
    <w:rPr>
      <w:rFonts w:eastAsiaTheme="minorHAnsi" w:cstheme="minorBidi"/>
      <w:sz w:val="28"/>
      <w:szCs w:val="22"/>
      <w:vertAlign w:val="superscript"/>
      <w:lang w:val="vi-VN"/>
    </w:rPr>
  </w:style>
  <w:style w:type="character" w:customStyle="1" w:styleId="32">
    <w:name w:val="Footnote Characters"/>
    <w:qFormat/>
    <w:uiPriority w:val="0"/>
    <w:rPr>
      <w:vertAlign w:val="superscript"/>
    </w:rPr>
  </w:style>
  <w:style w:type="character" w:customStyle="1" w:styleId="33">
    <w:name w:val="Footer Char"/>
    <w:basedOn w:val="7"/>
    <w:link w:val="19"/>
    <w:qFormat/>
    <w:uiPriority w:val="0"/>
    <w:rPr>
      <w:rFonts w:eastAsia="Times New Roman" w:cs="Times New Roman"/>
      <w:color w:val="000000"/>
      <w:sz w:val="30"/>
      <w:szCs w:val="30"/>
      <w:lang w:val="en-US"/>
    </w:rPr>
  </w:style>
  <w:style w:type="character" w:customStyle="1" w:styleId="34">
    <w:name w:val="Body Text Indent 3 Char"/>
    <w:basedOn w:val="7"/>
    <w:link w:val="12"/>
    <w:qFormat/>
    <w:uiPriority w:val="0"/>
    <w:rPr>
      <w:rFonts w:eastAsia="Times New Roman" w:cs="Times New Roman"/>
      <w:color w:val="000000"/>
      <w:sz w:val="16"/>
      <w:szCs w:val="16"/>
      <w:lang w:val="en-US"/>
    </w:rPr>
  </w:style>
  <w:style w:type="character" w:customStyle="1" w:styleId="35">
    <w:name w:val="Header Char"/>
    <w:basedOn w:val="7"/>
    <w:link w:val="22"/>
    <w:qFormat/>
    <w:uiPriority w:val="0"/>
    <w:rPr>
      <w:rFonts w:eastAsia="Times New Roman" w:cs="Times New Roman"/>
      <w:color w:val="000000"/>
      <w:sz w:val="30"/>
      <w:szCs w:val="30"/>
      <w:lang w:val="en-US"/>
    </w:rPr>
  </w:style>
  <w:style w:type="character" w:customStyle="1" w:styleId="36">
    <w:name w:val="Body Text 2 Char"/>
    <w:basedOn w:val="7"/>
    <w:link w:val="11"/>
    <w:qFormat/>
    <w:uiPriority w:val="99"/>
    <w:rPr>
      <w:rFonts w:eastAsia="Times New Roman" w:cs="Times New Roman"/>
      <w:szCs w:val="28"/>
      <w:lang w:val="zh-CN" w:eastAsia="zh-CN"/>
    </w:rPr>
  </w:style>
  <w:style w:type="character" w:customStyle="1" w:styleId="37">
    <w:name w:val="Body text_"/>
    <w:link w:val="38"/>
    <w:qFormat/>
    <w:uiPriority w:val="0"/>
    <w:rPr>
      <w:sz w:val="27"/>
      <w:szCs w:val="27"/>
      <w:shd w:val="clear" w:color="auto" w:fill="FFFFFF"/>
    </w:rPr>
  </w:style>
  <w:style w:type="paragraph" w:customStyle="1" w:styleId="38">
    <w:name w:val="Body text1"/>
    <w:basedOn w:val="1"/>
    <w:link w:val="37"/>
    <w:qFormat/>
    <w:uiPriority w:val="0"/>
    <w:pPr>
      <w:shd w:val="clear" w:color="auto" w:fill="FFFFFF"/>
      <w:spacing w:line="326" w:lineRule="exact"/>
      <w:jc w:val="center"/>
    </w:pPr>
    <w:rPr>
      <w:rFonts w:eastAsiaTheme="minorHAnsi" w:cstheme="minorBidi"/>
      <w:sz w:val="27"/>
      <w:szCs w:val="27"/>
      <w:lang w:val="vi-VN"/>
    </w:rPr>
  </w:style>
  <w:style w:type="character" w:customStyle="1" w:styleId="39">
    <w:name w:val="Body Text Char"/>
    <w:basedOn w:val="7"/>
    <w:link w:val="10"/>
    <w:qFormat/>
    <w:uiPriority w:val="99"/>
    <w:rPr>
      <w:rFonts w:eastAsia="Times New Roman" w:cs="Times New Roman"/>
      <w:color w:val="000000"/>
      <w:sz w:val="30"/>
      <w:szCs w:val="30"/>
      <w:lang w:val="en-US"/>
    </w:rPr>
  </w:style>
  <w:style w:type="character" w:customStyle="1" w:styleId="40">
    <w:name w:val="Font Style16"/>
    <w:basedOn w:val="7"/>
    <w:qFormat/>
    <w:uiPriority w:val="0"/>
    <w:rPr>
      <w:rFonts w:ascii="Times New Roman" w:hAnsi="Times New Roman" w:cs="Times New Roman"/>
      <w:color w:val="000000"/>
      <w:sz w:val="28"/>
      <w:szCs w:val="28"/>
    </w:rPr>
  </w:style>
  <w:style w:type="character" w:customStyle="1" w:styleId="41">
    <w:name w:val="Van b?n n?i dung_"/>
    <w:link w:val="42"/>
    <w:qFormat/>
    <w:locked/>
    <w:uiPriority w:val="0"/>
    <w:rPr>
      <w:sz w:val="29"/>
      <w:shd w:val="clear" w:color="auto" w:fill="FFFFFF"/>
    </w:rPr>
  </w:style>
  <w:style w:type="paragraph" w:customStyle="1" w:styleId="42">
    <w:name w:val="Van b?n n?i dung1"/>
    <w:basedOn w:val="1"/>
    <w:link w:val="41"/>
    <w:qFormat/>
    <w:uiPriority w:val="0"/>
    <w:pPr>
      <w:shd w:val="clear" w:color="auto" w:fill="FFFFFF"/>
      <w:spacing w:line="305" w:lineRule="exact"/>
      <w:jc w:val="both"/>
    </w:pPr>
    <w:rPr>
      <w:rFonts w:eastAsiaTheme="minorHAnsi" w:cstheme="minorBidi"/>
      <w:sz w:val="29"/>
      <w:szCs w:val="22"/>
      <w:lang w:val="vi-VN"/>
    </w:rPr>
  </w:style>
  <w:style w:type="character" w:customStyle="1" w:styleId="43">
    <w:name w:val="Balloon Text Char"/>
    <w:basedOn w:val="7"/>
    <w:link w:val="9"/>
    <w:semiHidden/>
    <w:qFormat/>
    <w:uiPriority w:val="99"/>
    <w:rPr>
      <w:rFonts w:ascii="Segoe UI" w:hAnsi="Segoe UI" w:eastAsia="Times New Roman" w:cs="Segoe UI"/>
      <w:color w:val="000000"/>
      <w:sz w:val="18"/>
      <w:szCs w:val="18"/>
      <w:lang w:val="en-US"/>
    </w:rPr>
  </w:style>
  <w:style w:type="character" w:customStyle="1" w:styleId="44">
    <w:name w:val="Comment Text Char"/>
    <w:basedOn w:val="7"/>
    <w:link w:val="15"/>
    <w:qFormat/>
    <w:uiPriority w:val="99"/>
    <w:rPr>
      <w:rFonts w:eastAsia="Times New Roman" w:cs="Times New Roman"/>
      <w:color w:val="000000"/>
      <w:sz w:val="20"/>
      <w:szCs w:val="20"/>
      <w:lang w:val="en-US"/>
    </w:rPr>
  </w:style>
  <w:style w:type="character" w:customStyle="1" w:styleId="45">
    <w:name w:val="Comment Subject Char"/>
    <w:basedOn w:val="44"/>
    <w:link w:val="16"/>
    <w:semiHidden/>
    <w:qFormat/>
    <w:uiPriority w:val="99"/>
    <w:rPr>
      <w:rFonts w:eastAsia="Times New Roman" w:cs="Times New Roman"/>
      <w:b/>
      <w:bCs/>
      <w:color w:val="000000"/>
      <w:sz w:val="20"/>
      <w:szCs w:val="20"/>
      <w:lang w:val="en-US"/>
    </w:rPr>
  </w:style>
  <w:style w:type="character" w:customStyle="1" w:styleId="46">
    <w:name w:val="fontstyle01"/>
    <w:qFormat/>
    <w:uiPriority w:val="0"/>
    <w:rPr>
      <w:rFonts w:ascii="TimesNewRomanPS-ItalicMT" w:hAnsi="TimesNewRomanPS-ItalicMT"/>
      <w:i/>
      <w:iCs/>
      <w:color w:val="242021"/>
      <w:sz w:val="28"/>
      <w:szCs w:val="28"/>
    </w:rPr>
  </w:style>
  <w:style w:type="character" w:customStyle="1" w:styleId="47">
    <w:name w:val="Unresolved Mention1"/>
    <w:basedOn w:val="7"/>
    <w:semiHidden/>
    <w:unhideWhenUsed/>
    <w:qFormat/>
    <w:uiPriority w:val="99"/>
    <w:rPr>
      <w:color w:val="605E5C"/>
      <w:shd w:val="clear" w:color="auto" w:fill="E1DFDD"/>
    </w:rPr>
  </w:style>
  <w:style w:type="character" w:customStyle="1" w:styleId="48">
    <w:name w:val="Heading 3 Char"/>
    <w:basedOn w:val="7"/>
    <w:link w:val="4"/>
    <w:qFormat/>
    <w:uiPriority w:val="9"/>
    <w:rPr>
      <w:rFonts w:eastAsia="Times New Roman" w:cs="Times New Roman"/>
      <w:b/>
      <w:szCs w:val="20"/>
    </w:rPr>
  </w:style>
  <w:style w:type="character" w:customStyle="1" w:styleId="49">
    <w:name w:val="Heading 1 Char"/>
    <w:basedOn w:val="7"/>
    <w:link w:val="2"/>
    <w:qFormat/>
    <w:uiPriority w:val="99"/>
    <w:rPr>
      <w:rFonts w:asciiTheme="majorHAnsi" w:hAnsiTheme="majorHAnsi" w:eastAsiaTheme="majorEastAsia" w:cstheme="majorBidi"/>
      <w:color w:val="2F5597" w:themeColor="accent1" w:themeShade="BF"/>
      <w:sz w:val="32"/>
      <w:szCs w:val="32"/>
      <w:lang w:val="en-US"/>
    </w:rPr>
  </w:style>
  <w:style w:type="character" w:customStyle="1" w:styleId="50">
    <w:name w:val="Endnote Characters (user)"/>
    <w:qFormat/>
    <w:uiPriority w:val="0"/>
    <w:rPr>
      <w:vertAlign w:val="superscript"/>
    </w:rPr>
  </w:style>
  <w:style w:type="character" w:customStyle="1" w:styleId="51">
    <w:name w:val="Endnote Characters"/>
    <w:qFormat/>
    <w:uiPriority w:val="0"/>
    <w:rPr>
      <w:vertAlign w:val="superscript"/>
    </w:rPr>
  </w:style>
  <w:style w:type="character" w:customStyle="1" w:styleId="52">
    <w:name w:val="Heading 2 Char"/>
    <w:basedOn w:val="7"/>
    <w:link w:val="3"/>
    <w:qFormat/>
    <w:uiPriority w:val="9"/>
    <w:rPr>
      <w:rFonts w:asciiTheme="majorHAnsi" w:hAnsiTheme="majorHAnsi" w:eastAsiaTheme="majorEastAsia" w:cstheme="majorBidi"/>
      <w:b/>
      <w:bCs/>
      <w:color w:val="4472C4" w:themeColor="accent1"/>
      <w:sz w:val="26"/>
      <w:szCs w:val="26"/>
      <w:lang w:val="en-US"/>
      <w14:textFill>
        <w14:solidFill>
          <w14:schemeClr w14:val="accent1"/>
        </w14:solidFill>
      </w14:textFill>
    </w:rPr>
  </w:style>
  <w:style w:type="character" w:customStyle="1" w:styleId="53">
    <w:name w:val="Footnote Text Char1"/>
    <w:qFormat/>
    <w:uiPriority w:val="99"/>
    <w:rPr>
      <w:rFonts w:ascii="Times New Roman" w:hAnsi="Times New Roman" w:eastAsia="Times New Roman" w:cs="Times New Roman"/>
      <w:kern w:val="0"/>
      <w:sz w:val="20"/>
      <w:szCs w:val="20"/>
      <w:lang w:val="en-US"/>
      <w14:ligatures w14:val="none"/>
    </w:rPr>
  </w:style>
  <w:style w:type="paragraph" w:customStyle="1" w:styleId="54">
    <w:name w:val="Heading"/>
    <w:basedOn w:val="1"/>
    <w:next w:val="10"/>
    <w:qFormat/>
    <w:uiPriority w:val="0"/>
    <w:pPr>
      <w:keepNext/>
      <w:spacing w:before="240" w:after="120"/>
    </w:pPr>
    <w:rPr>
      <w:rFonts w:ascii="Carlito" w:hAnsi="Carlito" w:eastAsia="Noto Sans SC Regular" w:cs="Noto Sans Devanagari"/>
      <w:sz w:val="28"/>
      <w:szCs w:val="28"/>
    </w:rPr>
  </w:style>
  <w:style w:type="paragraph" w:customStyle="1" w:styleId="55">
    <w:name w:val="Index"/>
    <w:basedOn w:val="1"/>
    <w:qFormat/>
    <w:uiPriority w:val="0"/>
    <w:pPr>
      <w:suppressLineNumbers/>
    </w:pPr>
    <w:rPr>
      <w:rFonts w:cs="Noto Sans Devanagari"/>
    </w:rPr>
  </w:style>
  <w:style w:type="paragraph" w:customStyle="1" w:styleId="56">
    <w:name w:val="caption1"/>
    <w:basedOn w:val="1"/>
    <w:qFormat/>
    <w:uiPriority w:val="0"/>
    <w:pPr>
      <w:suppressLineNumbers/>
      <w:spacing w:before="120" w:after="120"/>
    </w:pPr>
    <w:rPr>
      <w:rFonts w:cs="Noto Sans Devanagari"/>
      <w:i/>
      <w:iCs/>
    </w:rPr>
  </w:style>
  <w:style w:type="paragraph" w:customStyle="1" w:styleId="57">
    <w:name w:val="Header and Footer"/>
    <w:basedOn w:val="1"/>
    <w:qFormat/>
    <w:uiPriority w:val="0"/>
  </w:style>
  <w:style w:type="paragraph" w:customStyle="1" w:styleId="58">
    <w:name w:val="Carattere Carattere Char Char Char Char Char Char Zchn"/>
    <w:basedOn w:val="1"/>
    <w:next w:val="1"/>
    <w:qFormat/>
    <w:uiPriority w:val="0"/>
    <w:pPr>
      <w:spacing w:after="160" w:line="240" w:lineRule="exact"/>
    </w:pPr>
    <w:rPr>
      <w:rFonts w:eastAsiaTheme="minorHAnsi" w:cstheme="minorBidi"/>
      <w:sz w:val="28"/>
      <w:szCs w:val="22"/>
      <w:vertAlign w:val="superscript"/>
      <w:lang w:val="vi-VN"/>
    </w:rPr>
  </w:style>
  <w:style w:type="paragraph" w:customStyle="1" w:styleId="59">
    <w:name w:val="Revision"/>
    <w:semiHidden/>
    <w:qFormat/>
    <w:uiPriority w:val="99"/>
    <w:pPr>
      <w:suppressAutoHyphens/>
    </w:pPr>
    <w:rPr>
      <w:rFonts w:ascii="Times New Roman" w:hAnsi="Times New Roman" w:eastAsia="Times New Roman" w:cs="Times New Roman"/>
      <w:color w:val="000000"/>
      <w:sz w:val="30"/>
      <w:szCs w:val="30"/>
      <w:lang w:val="en-US" w:eastAsia="en-US" w:bidi="ar-SA"/>
    </w:rPr>
  </w:style>
  <w:style w:type="paragraph" w:customStyle="1" w:styleId="60">
    <w:name w:val="Body Text11"/>
    <w:basedOn w:val="1"/>
    <w:qFormat/>
    <w:uiPriority w:val="0"/>
    <w:pPr>
      <w:shd w:val="clear" w:color="auto" w:fill="FFFFFF"/>
      <w:spacing w:before="780" w:after="60" w:line="336" w:lineRule="exact"/>
      <w:ind w:firstLine="700"/>
      <w:jc w:val="both"/>
    </w:pPr>
    <w:rPr>
      <w:sz w:val="28"/>
      <w:szCs w:val="28"/>
    </w:rPr>
  </w:style>
  <w:style w:type="paragraph" w:styleId="61">
    <w:name w:val="List Paragraph"/>
    <w:basedOn w:val="1"/>
    <w:qFormat/>
    <w:uiPriority w:val="34"/>
    <w:pPr>
      <w:ind w:left="720"/>
      <w:contextualSpacing/>
    </w:pPr>
  </w:style>
  <w:style w:type="paragraph" w:customStyle="1" w:styleId="62">
    <w:name w:val="Footnote Reference 2"/>
    <w:basedOn w:val="1"/>
    <w:qFormat/>
    <w:uiPriority w:val="0"/>
    <w:pPr>
      <w:spacing w:after="160" w:line="240" w:lineRule="exact"/>
    </w:pPr>
    <w:rPr>
      <w:sz w:val="20"/>
      <w:szCs w:val="20"/>
      <w:vertAlign w:val="superscript"/>
    </w:rPr>
  </w:style>
  <w:style w:type="paragraph" w:styleId="63">
    <w:name w:val="No Spacing"/>
    <w:qFormat/>
    <w:uiPriority w:val="1"/>
    <w:pPr>
      <w:widowControl w:val="0"/>
      <w:suppressAutoHyphens/>
    </w:pPr>
    <w:rPr>
      <w:rFonts w:ascii="Times New Roman" w:hAnsi="Times New Roman" w:eastAsia="Times New Roman" w:cs="Times New Roman"/>
      <w:color w:val="000000"/>
      <w:sz w:val="30"/>
      <w:szCs w:val="30"/>
      <w:lang w:val="en-US" w:eastAsia="en-US" w:bidi="ar-SA"/>
    </w:rPr>
  </w:style>
  <w:style w:type="paragraph" w:customStyle="1" w:styleId="64">
    <w:name w:val="Frame Contents (user)"/>
    <w:basedOn w:val="1"/>
    <w:qFormat/>
    <w:uiPriority w:val="0"/>
  </w:style>
  <w:style w:type="paragraph" w:customStyle="1" w:styleId="65">
    <w:name w:val="Footnote Char Char Char Char Char Char Char"/>
    <w:basedOn w:val="1"/>
    <w:qFormat/>
    <w:uiPriority w:val="0"/>
    <w:pPr>
      <w:spacing w:before="100" w:line="240" w:lineRule="exact"/>
    </w:pPr>
    <w:rPr>
      <w:sz w:val="20"/>
      <w:szCs w:val="20"/>
      <w:vertAlign w:val="superscript"/>
    </w:rPr>
  </w:style>
  <w:style w:type="paragraph" w:customStyle="1" w:styleId="66">
    <w:name w:val="Frame Contents"/>
    <w:basedOn w:val="1"/>
    <w:qFormat/>
    <w:uiPriority w:val="0"/>
  </w:style>
  <w:style w:type="character" w:customStyle="1" w:styleId="67">
    <w:name w:val="Heading 4 Char"/>
    <w:basedOn w:val="7"/>
    <w:link w:val="5"/>
    <w:semiHidden/>
    <w:qFormat/>
    <w:uiPriority w:val="9"/>
    <w:rPr>
      <w:rFonts w:asciiTheme="majorHAnsi" w:hAnsiTheme="majorHAnsi" w:eastAsiaTheme="majorEastAsia" w:cstheme="majorBidi"/>
      <w:i/>
      <w:iCs/>
      <w:color w:val="2F5597" w:themeColor="accent1" w:themeShade="BF"/>
      <w:sz w:val="30"/>
      <w:szCs w:val="30"/>
      <w:lang w:val="en-US"/>
    </w:rPr>
  </w:style>
  <w:style w:type="character" w:customStyle="1" w:styleId="68">
    <w:name w:val="Heading 5 Char"/>
    <w:basedOn w:val="7"/>
    <w:link w:val="6"/>
    <w:semiHidden/>
    <w:qFormat/>
    <w:uiPriority w:val="9"/>
    <w:rPr>
      <w:rFonts w:asciiTheme="majorHAnsi" w:hAnsiTheme="majorHAnsi" w:eastAsiaTheme="majorEastAsia" w:cstheme="majorBidi"/>
      <w:color w:val="2F5597" w:themeColor="accent1" w:themeShade="BF"/>
      <w:sz w:val="24"/>
      <w:szCs w:val="24"/>
      <w:lang w:val="en-US"/>
    </w:rPr>
  </w:style>
  <w:style w:type="character" w:customStyle="1" w:styleId="69">
    <w:name w:val="whitespace-normal"/>
    <w:basedOn w:val="7"/>
    <w:qFormat/>
    <w:uiPriority w:val="0"/>
  </w:style>
  <w:style w:type="paragraph" w:customStyle="1" w:styleId="70">
    <w:name w:val="pdq2pg_selectionanchorcontainer"/>
    <w:basedOn w:val="1"/>
    <w:qFormat/>
    <w:uiPriority w:val="0"/>
    <w:pPr>
      <w:spacing w:before="100" w:beforeAutospacing="1" w:after="100" w:afterAutospacing="1"/>
    </w:pPr>
  </w:style>
  <w:style w:type="paragraph" w:customStyle="1" w:styleId="71">
    <w:name w:val="HTML Top of Form"/>
    <w:basedOn w:val="1"/>
    <w:next w:val="1"/>
    <w:link w:val="72"/>
    <w:semiHidden/>
    <w:unhideWhenUsed/>
    <w:qFormat/>
    <w:uiPriority w:val="99"/>
    <w:pPr>
      <w:pBdr>
        <w:bottom w:val="single" w:color="auto" w:sz="6" w:space="1"/>
      </w:pBdr>
      <w:jc w:val="center"/>
    </w:pPr>
    <w:rPr>
      <w:rFonts w:ascii="Arial" w:hAnsi="Arial" w:cs="Arial"/>
      <w:vanish/>
      <w:sz w:val="16"/>
      <w:szCs w:val="16"/>
    </w:rPr>
  </w:style>
  <w:style w:type="character" w:customStyle="1" w:styleId="72">
    <w:name w:val="z-Top of Form Char"/>
    <w:basedOn w:val="7"/>
    <w:link w:val="71"/>
    <w:semiHidden/>
    <w:qFormat/>
    <w:uiPriority w:val="99"/>
    <w:rPr>
      <w:rFonts w:ascii="Arial" w:hAnsi="Arial" w:eastAsia="Times New Roman" w:cs="Arial"/>
      <w:vanish/>
      <w:sz w:val="16"/>
      <w:szCs w:val="16"/>
      <w:lang w:val="en-US"/>
    </w:rPr>
  </w:style>
  <w:style w:type="paragraph" w:customStyle="1" w:styleId="73">
    <w:name w:val="HTML Bottom of Form"/>
    <w:basedOn w:val="1"/>
    <w:next w:val="1"/>
    <w:link w:val="74"/>
    <w:semiHidden/>
    <w:unhideWhenUsed/>
    <w:qFormat/>
    <w:uiPriority w:val="99"/>
    <w:pPr>
      <w:pBdr>
        <w:top w:val="single" w:color="auto" w:sz="6" w:space="1"/>
      </w:pBdr>
      <w:jc w:val="center"/>
    </w:pPr>
    <w:rPr>
      <w:rFonts w:ascii="Arial" w:hAnsi="Arial" w:cs="Arial"/>
      <w:vanish/>
      <w:sz w:val="16"/>
      <w:szCs w:val="16"/>
    </w:rPr>
  </w:style>
  <w:style w:type="character" w:customStyle="1" w:styleId="74">
    <w:name w:val="z-Bottom of Form Char"/>
    <w:basedOn w:val="7"/>
    <w:link w:val="73"/>
    <w:semiHidden/>
    <w:qFormat/>
    <w:uiPriority w:val="99"/>
    <w:rPr>
      <w:rFonts w:ascii="Arial" w:hAnsi="Arial" w:eastAsia="Times New Roman" w:cs="Arial"/>
      <w:vanish/>
      <w:sz w:val="16"/>
      <w:szCs w:val="16"/>
      <w:lang w:val="en-US"/>
    </w:rPr>
  </w:style>
  <w:style w:type="paragraph" w:customStyle="1" w:styleId="75">
    <w:name w:val="isselectedend"/>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6620CC-AD89-434D-8F0C-6752DCCBA7FD}">
  <ds:schemaRefs/>
</ds:datastoreItem>
</file>

<file path=docProps/app.xml><?xml version="1.0" encoding="utf-8"?>
<Properties xmlns="http://schemas.openxmlformats.org/officeDocument/2006/extended-properties" xmlns:vt="http://schemas.openxmlformats.org/officeDocument/2006/docPropsVTypes">
  <Template>Normal</Template>
  <Pages>15</Pages>
  <Words>8481</Words>
  <Characters>30929</Characters>
  <Lines>250</Lines>
  <Paragraphs>70</Paragraphs>
  <TotalTime>39</TotalTime>
  <ScaleCrop>false</ScaleCrop>
  <LinksUpToDate>false</LinksUpToDate>
  <CharactersWithSpaces>39520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2026-07-30T01:18:00Z</dcterms:created>
  <dc:creator>Administrator</dc:creator>
  <cp:lastModifiedBy>2026</cp:lastModifiedBy>
  <cp:lastPrinted>2026-05-28T07:14:00Z</cp:lastPrinted>
  <dcterms:modified xsi:type="dcterms:W3CDTF">2026-08-21T03:39:28Z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eyJoZGlkIjoiYzZkNzQ4ZWFiZmQ4NTRhOWRkZTk3YTMwMjlmMmZhYmUifQ==</vt:lpwstr>
  </property>
  <property fmtid="{D5CDD505-2E9C-101B-9397-08002B2CF9AE}" pid="3" name="KSOProductBuildVer">
    <vt:lpwstr>1033-12.1.0.28032</vt:lpwstr>
  </property>
  <property fmtid="{D5CDD505-2E9C-101B-9397-08002B2CF9AE}" pid="4" name="ICV">
    <vt:lpwstr>871CF0B52ED7432580F61B313F147E16_12</vt:lpwstr>
  </property>
</Properties>
</file>