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2"/>
        <w:tblpPr w:leftFromText="180" w:rightFromText="180" w:vertAnchor="text" w:tblpXSpec="right" w:tblpY="1"/>
        <w:tblOverlap w:val="never"/>
        <w:tblW w:w="9676" w:type="dxa"/>
        <w:tblInd w:w="0" w:type="dxa"/>
        <w:tblLayout w:type="fixed"/>
        <w:tblCellMar>
          <w:top w:w="0" w:type="dxa"/>
          <w:left w:w="108" w:type="dxa"/>
          <w:bottom w:w="0" w:type="dxa"/>
          <w:right w:w="108" w:type="dxa"/>
        </w:tblCellMar>
      </w:tblPr>
      <w:tblGrid>
        <w:gridCol w:w="4678"/>
        <w:gridCol w:w="4998"/>
      </w:tblGrid>
      <w:tr w14:paraId="507F80D6">
        <w:tblPrEx>
          <w:tblCellMar>
            <w:top w:w="0" w:type="dxa"/>
            <w:left w:w="108" w:type="dxa"/>
            <w:bottom w:w="0" w:type="dxa"/>
            <w:right w:w="108" w:type="dxa"/>
          </w:tblCellMar>
        </w:tblPrEx>
        <w:trPr>
          <w:trHeight w:val="90" w:hRule="atLeast"/>
        </w:trPr>
        <w:tc>
          <w:tcPr>
            <w:tcW w:w="4678" w:type="dxa"/>
          </w:tcPr>
          <w:p w14:paraId="7D172B41">
            <w:pPr>
              <w:widowControl w:val="0"/>
              <w:kinsoku w:val="0"/>
              <w:overflowPunct w:val="0"/>
              <w:autoSpaceDE w:val="0"/>
              <w:autoSpaceDN w:val="0"/>
              <w:jc w:val="center"/>
              <w:rPr>
                <w:rFonts w:eastAsia="Calibri"/>
                <w:color w:val="000000" w:themeColor="text1"/>
                <w:sz w:val="28"/>
                <w:szCs w:val="28"/>
                <w14:textFill>
                  <w14:solidFill>
                    <w14:schemeClr w14:val="tx1"/>
                  </w14:solidFill>
                </w14:textFill>
              </w:rPr>
            </w:pPr>
            <w:r>
              <w:rPr>
                <w:rFonts w:eastAsia="Calibri"/>
                <w:color w:val="000000" w:themeColor="text1"/>
                <w:sz w:val="28"/>
                <w:szCs w:val="28"/>
                <w14:textFill>
                  <w14:solidFill>
                    <w14:schemeClr w14:val="tx1"/>
                  </w14:solidFill>
                </w14:textFill>
              </w:rPr>
              <w:t>ĐẢNG BỘ TỈNH LÀO CAI</w:t>
            </w:r>
          </w:p>
          <w:p w14:paraId="7CE35997">
            <w:pPr>
              <w:widowControl w:val="0"/>
              <w:kinsoku w:val="0"/>
              <w:overflowPunct w:val="0"/>
              <w:autoSpaceDE w:val="0"/>
              <w:autoSpaceDN w:val="0"/>
              <w:jc w:val="center"/>
              <w:rPr>
                <w:rFonts w:eastAsia="Calibri"/>
                <w:b/>
                <w:color w:val="000000" w:themeColor="text1"/>
                <w:sz w:val="28"/>
                <w:szCs w:val="28"/>
                <w14:textFill>
                  <w14:solidFill>
                    <w14:schemeClr w14:val="tx1"/>
                  </w14:solidFill>
                </w14:textFill>
              </w:rPr>
            </w:pPr>
            <w:r>
              <w:rPr>
                <w:rFonts w:eastAsia="Calibri"/>
                <w:b/>
                <w:color w:val="000000" w:themeColor="text1"/>
                <w:sz w:val="28"/>
                <w:szCs w:val="28"/>
                <w14:textFill>
                  <w14:solidFill>
                    <w14:schemeClr w14:val="tx1"/>
                  </w14:solidFill>
                </w14:textFill>
              </w:rPr>
              <w:t>ĐẢNG ỦY XÃ LÙNG PHÌNH</w:t>
            </w:r>
          </w:p>
          <w:p w14:paraId="38F0F529">
            <w:pPr>
              <w:widowControl w:val="0"/>
              <w:kinsoku w:val="0"/>
              <w:overflowPunct w:val="0"/>
              <w:autoSpaceDE w:val="0"/>
              <w:autoSpaceDN w:val="0"/>
              <w:jc w:val="center"/>
              <w:rPr>
                <w:rFonts w:eastAsia="Calibri"/>
                <w:color w:val="000000" w:themeColor="text1"/>
                <w:sz w:val="28"/>
                <w:szCs w:val="28"/>
                <w14:textFill>
                  <w14:solidFill>
                    <w14:schemeClr w14:val="tx1"/>
                  </w14:solidFill>
                </w14:textFill>
              </w:rPr>
            </w:pPr>
            <w:r>
              <w:rPr>
                <w:rFonts w:eastAsia="Calibri"/>
                <w:color w:val="000000" w:themeColor="text1"/>
                <w:sz w:val="28"/>
                <w:szCs w:val="28"/>
                <w14:textFill>
                  <w14:solidFill>
                    <w14:schemeClr w14:val="tx1"/>
                  </w14:solidFill>
                </w14:textFill>
              </w:rPr>
              <w:t>*</w:t>
            </w:r>
          </w:p>
          <w:p w14:paraId="0EF9F0C0">
            <w:pPr>
              <w:widowControl w:val="0"/>
              <w:kinsoku w:val="0"/>
              <w:overflowPunct w:val="0"/>
              <w:autoSpaceDE w:val="0"/>
              <w:autoSpaceDN w:val="0"/>
              <w:jc w:val="center"/>
              <w:rPr>
                <w:rFonts w:eastAsia="Calibri"/>
                <w:color w:val="000000" w:themeColor="text1"/>
                <w:sz w:val="28"/>
                <w:szCs w:val="28"/>
                <w14:textFill>
                  <w14:solidFill>
                    <w14:schemeClr w14:val="tx1"/>
                  </w14:solidFill>
                </w14:textFill>
              </w:rPr>
            </w:pPr>
            <w:r>
              <w:rPr>
                <w:rFonts w:eastAsia="Calibri"/>
                <w:color w:val="000000" w:themeColor="text1"/>
                <w:sz w:val="28"/>
                <w:szCs w:val="28"/>
                <w14:textFill>
                  <w14:solidFill>
                    <w14:schemeClr w14:val="tx1"/>
                  </w14:solidFill>
                </w14:textFill>
              </w:rPr>
              <w:t>Số         -BC/ĐU</w:t>
            </w:r>
          </w:p>
        </w:tc>
        <w:tc>
          <w:tcPr>
            <w:tcW w:w="4998" w:type="dxa"/>
          </w:tcPr>
          <w:p w14:paraId="2595BAD6">
            <w:pPr>
              <w:widowControl w:val="0"/>
              <w:kinsoku w:val="0"/>
              <w:overflowPunct w:val="0"/>
              <w:autoSpaceDE w:val="0"/>
              <w:autoSpaceDN w:val="0"/>
              <w:jc w:val="both"/>
              <w:rPr>
                <w:rFonts w:eastAsia="Calibri"/>
                <w:b/>
                <w:color w:val="000000" w:themeColor="text1"/>
                <w:szCs w:val="30"/>
                <w14:textFill>
                  <w14:solidFill>
                    <w14:schemeClr w14:val="tx1"/>
                  </w14:solidFill>
                </w14:textFill>
              </w:rPr>
            </w:pPr>
            <w:r>
              <w:rPr>
                <w:rFonts w:eastAsia="Calibri"/>
                <w:color w:val="000000" w:themeColor="text1"/>
                <w:sz w:val="28"/>
                <w:szCs w:val="28"/>
                <w14:textFill>
                  <w14:solidFill>
                    <w14:schemeClr w14:val="tx1"/>
                  </w14:solidFill>
                </w14:textFill>
              </w:rPr>
              <w:t xml:space="preserve">         </w:t>
            </w:r>
            <w:r>
              <w:rPr>
                <w:rFonts w:eastAsia="Calibri"/>
                <w:b/>
                <w:color w:val="000000" w:themeColor="text1"/>
                <w:szCs w:val="30"/>
                <w14:textFill>
                  <w14:solidFill>
                    <w14:schemeClr w14:val="tx1"/>
                  </w14:solidFill>
                </w14:textFill>
              </w:rPr>
              <w:t>ĐẢNG CỘNG SẢN VIỆT NAM</w:t>
            </w:r>
          </w:p>
          <w:p w14:paraId="7C2D6959">
            <w:pPr>
              <w:widowControl w:val="0"/>
              <w:kinsoku w:val="0"/>
              <w:overflowPunct w:val="0"/>
              <w:autoSpaceDE w:val="0"/>
              <w:autoSpaceDN w:val="0"/>
              <w:rPr>
                <w:rFonts w:eastAsia="Calibri"/>
                <w:color w:val="000000" w:themeColor="text1"/>
                <w:sz w:val="28"/>
                <w:szCs w:val="28"/>
                <w14:textFill>
                  <w14:solidFill>
                    <w14:schemeClr w14:val="tx1"/>
                  </w14:solidFill>
                </w14:textFill>
              </w:rPr>
            </w:pPr>
            <w:r>
              <w:rPr>
                <w:rFonts w:eastAsia="Calibri"/>
                <w:color w:val="000000" w:themeColor="text1"/>
                <w:sz w:val="28"/>
                <w:szCs w:val="28"/>
                <w14:textFill>
                  <w14:solidFill>
                    <w14:schemeClr w14:val="tx1"/>
                  </w14:solidFill>
                </w14:textFill>
              </w:rPr>
              <mc:AlternateContent>
                <mc:Choice Requires="wps">
                  <w:drawing>
                    <wp:anchor distT="5715" distB="5080" distL="5715" distR="5080" simplePos="0" relativeHeight="251659264" behindDoc="0" locked="0" layoutInCell="1" allowOverlap="1">
                      <wp:simplePos x="0" y="0"/>
                      <wp:positionH relativeFrom="column">
                        <wp:posOffset>408305</wp:posOffset>
                      </wp:positionH>
                      <wp:positionV relativeFrom="paragraph">
                        <wp:posOffset>22225</wp:posOffset>
                      </wp:positionV>
                      <wp:extent cx="2587625" cy="635"/>
                      <wp:effectExtent l="0" t="0" r="0" b="0"/>
                      <wp:wrapNone/>
                      <wp:docPr id="1" name="AutoShape 2"/>
                      <wp:cNvGraphicFramePr/>
                      <a:graphic xmlns:a="http://schemas.openxmlformats.org/drawingml/2006/main">
                        <a:graphicData uri="http://schemas.microsoft.com/office/word/2010/wordprocessingShape">
                          <wps:wsp>
                            <wps:cNvCnPr/>
                            <wps:spPr>
                              <a:xfrm>
                                <a:off x="0" y="0"/>
                                <a:ext cx="2587625" cy="635"/>
                              </a:xfrm>
                              <a:prstGeom prst="straightConnector1">
                                <a:avLst/>
                              </a:prstGeom>
                              <a:noFill/>
                              <a:ln w="9525">
                                <a:solidFill>
                                  <a:srgbClr val="000000"/>
                                </a:solidFill>
                                <a:round/>
                              </a:ln>
                              <a:effectLst/>
                            </wps:spPr>
                            <wps:bodyPr/>
                          </wps:wsp>
                        </a:graphicData>
                      </a:graphic>
                    </wp:anchor>
                  </w:drawing>
                </mc:Choice>
                <mc:Fallback>
                  <w:pict>
                    <v:shape id="AutoShape 2" o:spid="_x0000_s1026" o:spt="32" type="#_x0000_t32" style="position:absolute;left:0pt;margin-left:32.15pt;margin-top:1.75pt;height:0.05pt;width:203.75pt;z-index:251659264;mso-width-relative:page;mso-height-relative:page;" filled="f" stroked="t" coordsize="21600,21600" o:gfxdata="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A/B8171gAAAAYBAAAPAAAAAAAAAAEAIAAAACIAAABkcnMvZG93bnJldi54bWxQSwECFAAUAAAA&#10;CACHTuJAEMzGYbcBAACCAwAADgAAAAAAAAABACAAAAAlAQAAZHJzL2Uyb0RvYy54bWxQSwUGAAAA&#10;AAYABgBZAQAATgUAAAAA&#10;">
                      <v:fill on="f" focussize="0,0"/>
                      <v:stroke color="#000000" joinstyle="round"/>
                      <v:imagedata o:title=""/>
                      <o:lock v:ext="edit" aspectratio="f"/>
                    </v:shape>
                  </w:pict>
                </mc:Fallback>
              </mc:AlternateContent>
            </w:r>
          </w:p>
          <w:p w14:paraId="752F71B7">
            <w:pPr>
              <w:widowControl w:val="0"/>
              <w:kinsoku w:val="0"/>
              <w:overflowPunct w:val="0"/>
              <w:autoSpaceDE w:val="0"/>
              <w:autoSpaceDN w:val="0"/>
              <w:rPr>
                <w:rFonts w:eastAsia="Calibri"/>
                <w:i/>
                <w:color w:val="000000" w:themeColor="text1"/>
                <w:sz w:val="28"/>
                <w:szCs w:val="28"/>
                <w14:textFill>
                  <w14:solidFill>
                    <w14:schemeClr w14:val="tx1"/>
                  </w14:solidFill>
                </w14:textFill>
              </w:rPr>
            </w:pPr>
            <w:r>
              <w:rPr>
                <w:rFonts w:eastAsia="Calibri"/>
                <w:color w:val="000000" w:themeColor="text1"/>
                <w:sz w:val="28"/>
                <w:szCs w:val="28"/>
                <w14:textFill>
                  <w14:solidFill>
                    <w14:schemeClr w14:val="tx1"/>
                  </w14:solidFill>
                </w14:textFill>
              </w:rPr>
              <w:t xml:space="preserve">    </w:t>
            </w:r>
            <w:r>
              <w:rPr>
                <w:rFonts w:eastAsia="Calibri"/>
                <w:i/>
                <w:color w:val="000000" w:themeColor="text1"/>
                <w:sz w:val="28"/>
                <w:szCs w:val="28"/>
                <w14:textFill>
                  <w14:solidFill>
                    <w14:schemeClr w14:val="tx1"/>
                  </w14:solidFill>
                </w14:textFill>
              </w:rPr>
              <w:t>Lùng Phình, ngày     tháng 9 năm 2026</w:t>
            </w:r>
          </w:p>
          <w:p w14:paraId="382A7962">
            <w:pPr>
              <w:widowControl w:val="0"/>
              <w:kinsoku w:val="0"/>
              <w:overflowPunct w:val="0"/>
              <w:autoSpaceDE w:val="0"/>
              <w:autoSpaceDN w:val="0"/>
              <w:rPr>
                <w:rFonts w:eastAsia="Calibri"/>
                <w:color w:val="000000" w:themeColor="text1"/>
                <w:sz w:val="28"/>
                <w:szCs w:val="28"/>
                <w14:textFill>
                  <w14:solidFill>
                    <w14:schemeClr w14:val="tx1"/>
                  </w14:solidFill>
                </w14:textFill>
              </w:rPr>
            </w:pPr>
          </w:p>
        </w:tc>
      </w:tr>
    </w:tbl>
    <w:p w14:paraId="467E8296">
      <w:pPr>
        <w:spacing w:line="0" w:lineRule="atLeast"/>
        <w:ind w:right="-106"/>
        <w:jc w:val="center"/>
        <w:rPr>
          <w:b/>
          <w:bCs/>
          <w:color w:val="000000" w:themeColor="text1"/>
          <w:sz w:val="28"/>
          <w:szCs w:val="28"/>
          <w14:textFill>
            <w14:solidFill>
              <w14:schemeClr w14:val="tx1"/>
            </w14:solidFill>
          </w14:textFill>
        </w:rPr>
      </w:pPr>
    </w:p>
    <w:p w14:paraId="7E647D18">
      <w:pPr>
        <w:spacing w:line="0" w:lineRule="atLeast"/>
        <w:ind w:right="-106"/>
        <w:jc w:val="center"/>
        <w:rPr>
          <w:b/>
          <w:bCs/>
          <w:color w:val="000000" w:themeColor="text1"/>
          <w:sz w:val="28"/>
          <w:szCs w:val="28"/>
          <w14:textFill>
            <w14:solidFill>
              <w14:schemeClr w14:val="tx1"/>
            </w14:solidFill>
          </w14:textFill>
        </w:rPr>
      </w:pPr>
      <w:r>
        <w:rPr>
          <w:b/>
          <w:bCs/>
          <w:color w:val="000000" w:themeColor="text1"/>
          <w:sz w:val="28"/>
          <w:szCs w:val="28"/>
          <w14:textFill>
            <w14:solidFill>
              <w14:schemeClr w14:val="tx1"/>
            </w14:solidFill>
          </w14:textFill>
        </w:rPr>
        <w:t>BÁO CÁO</w:t>
      </w:r>
    </w:p>
    <w:p w14:paraId="24F880CD">
      <w:pPr>
        <w:jc w:val="center"/>
        <w:rPr>
          <w:color w:val="000000" w:themeColor="text1"/>
          <w:sz w:val="28"/>
          <w:szCs w:val="28"/>
          <w:lang w:val="nl-NL"/>
          <w14:textFill>
            <w14:solidFill>
              <w14:schemeClr w14:val="tx1"/>
            </w14:solidFill>
          </w14:textFill>
        </w:rPr>
      </w:pPr>
      <w:r>
        <w:rPr>
          <w:b/>
          <w:bCs/>
          <w:color w:val="000000" w:themeColor="text1"/>
          <w:sz w:val="28"/>
          <w:szCs w:val="28"/>
          <w14:textFill>
            <w14:solidFill>
              <w14:schemeClr w14:val="tx1"/>
            </w14:solidFill>
          </w14:textFill>
        </w:rPr>
        <w:t xml:space="preserve">tình hình nghỉ </w:t>
      </w:r>
      <w:r>
        <w:rPr>
          <w:b/>
          <w:bCs/>
          <w:color w:val="000000"/>
          <w:sz w:val="28"/>
          <w:szCs w:val="28"/>
        </w:rPr>
        <w:t>lễ</w:t>
      </w:r>
      <w:r>
        <w:rPr>
          <w:b/>
          <w:bCs/>
          <w:color w:val="000000" w:themeColor="text1"/>
          <w:sz w:val="28"/>
          <w:szCs w:val="28"/>
          <w14:textFill>
            <w14:solidFill>
              <w14:schemeClr w14:val="tx1"/>
            </w14:solidFill>
          </w14:textFill>
        </w:rPr>
        <w:t xml:space="preserve"> Quốc khánh 02/9 và công tác chuẩn bị khai giảng</w:t>
      </w:r>
    </w:p>
    <w:p w14:paraId="05A9E2D7">
      <w:pPr>
        <w:jc w:val="center"/>
        <w:rPr>
          <w:color w:val="000000" w:themeColor="text1"/>
          <w:sz w:val="28"/>
          <w:szCs w:val="28"/>
          <w:lang w:val="nl-NL"/>
          <w14:textFill>
            <w14:solidFill>
              <w14:schemeClr w14:val="tx1"/>
            </w14:solidFill>
          </w14:textFill>
        </w:rPr>
      </w:pPr>
      <w:r>
        <w:rPr>
          <w:b/>
          <w:bCs/>
          <w:color w:val="000000" w:themeColor="text1"/>
          <w:sz w:val="28"/>
          <w:szCs w:val="28"/>
          <w14:textFill>
            <w14:solidFill>
              <w14:schemeClr w14:val="tx1"/>
            </w14:solidFill>
          </w14:textFill>
        </w:rPr>
        <w:t>năm học mới 2026</w:t>
      </w:r>
      <w:r>
        <w:rPr>
          <w:b/>
          <w:bCs/>
          <w:color w:val="000000"/>
          <w:sz w:val="28"/>
          <w:szCs w:val="28"/>
        </w:rPr>
        <w:t>–</w:t>
      </w:r>
      <w:r>
        <w:rPr>
          <w:b/>
          <w:bCs/>
          <w:color w:val="000000" w:themeColor="text1"/>
          <w:sz w:val="28"/>
          <w:szCs w:val="28"/>
          <w14:textFill>
            <w14:solidFill>
              <w14:schemeClr w14:val="tx1"/>
            </w14:solidFill>
          </w14:textFill>
        </w:rPr>
        <w:t>2027</w:t>
      </w:r>
    </w:p>
    <w:p w14:paraId="32D55CB3">
      <w:pPr>
        <w:spacing w:line="0" w:lineRule="atLeast"/>
        <w:jc w:val="center"/>
        <w:rPr>
          <w:i/>
          <w:iCs/>
          <w:color w:val="000000" w:themeColor="text1"/>
          <w:sz w:val="28"/>
          <w:szCs w:val="28"/>
          <w14:textFill>
            <w14:solidFill>
              <w14:schemeClr w14:val="tx1"/>
            </w14:solidFill>
          </w14:textFill>
        </w:rPr>
      </w:pPr>
      <w:r>
        <w:rPr>
          <w:i/>
          <w:iCs/>
          <w:color w:val="000000" w:themeColor="text1"/>
          <w:sz w:val="28"/>
          <w:szCs w:val="28"/>
          <w14:textFill>
            <w14:solidFill>
              <w14:schemeClr w14:val="tx1"/>
            </w14:solidFill>
          </w14:textFill>
        </w:rPr>
        <w:t>(Từ ngày 29/8/2026 đến hết ngày 02/9/2026)</w:t>
      </w:r>
    </w:p>
    <w:p w14:paraId="3E521618">
      <w:pPr>
        <w:spacing w:line="0" w:lineRule="atLeast"/>
        <w:jc w:val="center"/>
        <w:rPr>
          <w:rFonts w:eastAsia="Segoe UI"/>
          <w:color w:val="000000" w:themeColor="text1"/>
          <w:sz w:val="28"/>
          <w:szCs w:val="28"/>
          <w:shd w:val="clear" w:color="auto" w:fill="FFFFFF"/>
          <w14:textFill>
            <w14:solidFill>
              <w14:schemeClr w14:val="tx1"/>
            </w14:solidFill>
          </w14:textFill>
        </w:rPr>
      </w:pPr>
      <w:r>
        <w:rPr>
          <w:i/>
          <w:iCs/>
          <w:color w:val="000000" w:themeColor="text1"/>
          <w:sz w:val="28"/>
          <w:szCs w:val="28"/>
          <w14:textFill>
            <w14:solidFill>
              <w14:schemeClr w14:val="tx1"/>
            </w14:solidFill>
          </w14:textFill>
        </w:rPr>
        <w:t>-----</w:t>
      </w:r>
    </w:p>
    <w:p w14:paraId="7B44515B">
      <w:pPr>
        <w:pStyle w:val="22"/>
        <w:spacing w:beforeAutospacing="0" w:afterAutospacing="0" w:line="0" w:lineRule="atLeast"/>
        <w:ind w:firstLine="720"/>
        <w:jc w:val="both"/>
        <w:rPr>
          <w:color w:val="000000" w:themeColor="text1"/>
          <w:spacing w:val="-6"/>
          <w:sz w:val="28"/>
          <w:szCs w:val="28"/>
          <w14:textFill>
            <w14:solidFill>
              <w14:schemeClr w14:val="tx1"/>
            </w14:solidFill>
          </w14:textFill>
        </w:rPr>
      </w:pPr>
      <w:r>
        <w:rPr>
          <w:color w:val="000000" w:themeColor="text1"/>
          <w:spacing w:val="-6"/>
          <w:sz w:val="28"/>
          <w:szCs w:val="28"/>
          <w14:textFill>
            <w14:solidFill>
              <w14:schemeClr w14:val="tx1"/>
            </w14:solidFill>
          </w14:textFill>
        </w:rPr>
        <w:t>Thực hiện Công văn số 1536-CV/TU ngày 26/8/2026 của Tỉnh ủy Lào Cai về việc bảo đảm an ninh, trật tự dịp nghỉ lễ Quốc khánh 02/9 và chuẩn bị khai giảng năm học mới 2026–2027, Đảng ủy xã Lùng Phình báo cáo tình hình thực hiện như sau:</w:t>
      </w:r>
    </w:p>
    <w:p w14:paraId="06F20147">
      <w:pPr>
        <w:pStyle w:val="22"/>
        <w:spacing w:beforeAutospacing="0" w:afterAutospacing="0" w:line="0" w:lineRule="atLeast"/>
        <w:ind w:firstLine="720"/>
        <w:jc w:val="both"/>
        <w:rPr>
          <w:color w:val="000000" w:themeColor="text1"/>
          <w:spacing w:val="-6"/>
          <w:sz w:val="28"/>
          <w:szCs w:val="28"/>
          <w14:textFill>
            <w14:solidFill>
              <w14:schemeClr w14:val="tx1"/>
            </w14:solidFill>
          </w14:textFill>
        </w:rPr>
      </w:pPr>
      <w:r>
        <w:rPr>
          <w:b/>
          <w:bCs/>
          <w:color w:val="000000" w:themeColor="text1"/>
          <w:spacing w:val="-6"/>
          <w:sz w:val="28"/>
          <w:szCs w:val="28"/>
          <w14:textFill>
            <w14:solidFill>
              <w14:schemeClr w14:val="tx1"/>
            </w14:solidFill>
          </w14:textFill>
        </w:rPr>
        <w:t>I. CÔNG TÁC LÃNH ĐẠO, CHỈ ĐẠO</w:t>
      </w:r>
    </w:p>
    <w:p w14:paraId="0D27C5F5">
      <w:pPr>
        <w:pStyle w:val="22"/>
        <w:spacing w:beforeAutospacing="0" w:afterAutospacing="0" w:line="0" w:lineRule="atLeast"/>
        <w:ind w:firstLine="720"/>
        <w:jc w:val="both"/>
        <w:rPr>
          <w:color w:val="000000" w:themeColor="text1"/>
          <w:spacing w:val="-6"/>
          <w:sz w:val="28"/>
          <w:szCs w:val="28"/>
          <w14:textFill>
            <w14:solidFill>
              <w14:schemeClr w14:val="tx1"/>
            </w14:solidFill>
          </w14:textFill>
        </w:rPr>
      </w:pPr>
      <w:r>
        <w:rPr>
          <w:color w:val="000000" w:themeColor="text1"/>
          <w:spacing w:val="-6"/>
          <w:sz w:val="28"/>
          <w:szCs w:val="28"/>
          <w14:textFill>
            <w14:solidFill>
              <w14:schemeClr w14:val="tx1"/>
            </w14:solidFill>
          </w14:textFill>
        </w:rPr>
        <w:t>Đảng ủy xã đã tập trung lãnh đạo, chỉ đạo và ban hành Công văn số 724-CV/ĐU ngày 29/8/2026, yêu cầu UBND xã, Ủy ban MTTQ Việt Nam xã, các cơ quan, đơn vị, các thôn và lực lượng chức năng chủ động triển khai nghiêm túc, đồng bộ các nhiệm vụ bảo đảm an ninh chính trị, trật tự, an toàn xã hội; phục vụ tốt nhu cầu của Nhân dân trong dịp nghỉ lễ Quốc khánh 02/9 và chuẩn bị các điều kiện cho khai giảng năm học mới 2026–2027.</w:t>
      </w:r>
    </w:p>
    <w:p w14:paraId="49E1EE38">
      <w:pPr>
        <w:pStyle w:val="22"/>
        <w:spacing w:beforeAutospacing="0" w:afterAutospacing="0" w:line="0" w:lineRule="atLeast"/>
        <w:ind w:firstLine="720"/>
        <w:jc w:val="both"/>
        <w:rPr>
          <w:color w:val="000000" w:themeColor="text1"/>
          <w:spacing w:val="-6"/>
          <w:sz w:val="28"/>
          <w:szCs w:val="28"/>
          <w14:textFill>
            <w14:solidFill>
              <w14:schemeClr w14:val="tx1"/>
            </w14:solidFill>
          </w14:textFill>
        </w:rPr>
      </w:pPr>
      <w:r>
        <w:rPr>
          <w:color w:val="000000" w:themeColor="text1"/>
          <w:spacing w:val="-6"/>
          <w:sz w:val="28"/>
          <w:szCs w:val="28"/>
          <w14:textFill>
            <w14:solidFill>
              <w14:schemeClr w14:val="tx1"/>
            </w14:solidFill>
          </w14:textFill>
        </w:rPr>
        <w:t>Chỉ đạo các cơ quan, đơn vị thực hiện nghiêm chế độ trực lãnh đạo, trực chuyên môn, trực sẵn sàng chiến đấu; chủ động bố trí lực lượng, phương tiện, duy trì thông tin liên lạc thông suốt; thường xuyên nắm chắc tình hình địa bàn, kịp thời tiếp nhận, xử lý các tình huống phát sinh. Tăng cường phối hợp giữa các cơ quan, đơn vị, bảo đảm duy trì ổn định các hoạt động phục vụ Nhân dân, không để xảy ra bị động, bất ngờ hoặc gián đoạn việc cung cấp các dịch vụ thiết yếu trong thời gian nghỉ lễ.</w:t>
      </w:r>
    </w:p>
    <w:p w14:paraId="7B7CA63E">
      <w:pPr>
        <w:pStyle w:val="22"/>
        <w:spacing w:beforeAutospacing="0" w:afterAutospacing="0" w:line="0" w:lineRule="atLeast"/>
        <w:ind w:firstLine="720"/>
        <w:jc w:val="both"/>
        <w:rPr>
          <w:color w:val="000000" w:themeColor="text1"/>
          <w:spacing w:val="-6"/>
          <w:sz w:val="28"/>
          <w:szCs w:val="28"/>
          <w14:textFill>
            <w14:solidFill>
              <w14:schemeClr w14:val="tx1"/>
            </w14:solidFill>
          </w14:textFill>
        </w:rPr>
      </w:pPr>
      <w:r>
        <w:rPr>
          <w:b/>
          <w:bCs/>
          <w:color w:val="000000" w:themeColor="text1"/>
          <w:spacing w:val="-6"/>
          <w:sz w:val="28"/>
          <w:szCs w:val="28"/>
          <w14:textFill>
            <w14:solidFill>
              <w14:schemeClr w14:val="tx1"/>
            </w14:solidFill>
          </w14:textFill>
        </w:rPr>
        <w:t>II. TÌNH HÌNH CỤ THỂ</w:t>
      </w:r>
    </w:p>
    <w:p w14:paraId="780298CC">
      <w:pPr>
        <w:pStyle w:val="22"/>
        <w:spacing w:beforeAutospacing="0" w:afterAutospacing="0" w:line="0" w:lineRule="atLeast"/>
        <w:ind w:firstLine="720"/>
        <w:jc w:val="both"/>
        <w:rPr>
          <w:color w:val="000000" w:themeColor="text1"/>
          <w:spacing w:val="-6"/>
          <w:sz w:val="28"/>
          <w:szCs w:val="28"/>
          <w14:textFill>
            <w14:solidFill>
              <w14:schemeClr w14:val="tx1"/>
            </w14:solidFill>
          </w14:textFill>
        </w:rPr>
      </w:pPr>
      <w:r>
        <w:rPr>
          <w:b/>
          <w:bCs/>
          <w:color w:val="000000" w:themeColor="text1"/>
          <w:spacing w:val="-6"/>
          <w:sz w:val="28"/>
          <w:szCs w:val="28"/>
          <w14:textFill>
            <w14:solidFill>
              <w14:schemeClr w14:val="tx1"/>
            </w14:solidFill>
          </w14:textFill>
        </w:rPr>
        <w:t>1. Công tác lãnh đạo, chỉ đạo, điều hành; tổ chức trực và phục vụ Nhân dân trong dịp nghỉ lễ</w:t>
      </w:r>
    </w:p>
    <w:p w14:paraId="16ACC91E">
      <w:pPr>
        <w:pStyle w:val="22"/>
        <w:spacing w:beforeAutospacing="0" w:afterAutospacing="0" w:line="0" w:lineRule="atLeast"/>
        <w:ind w:firstLine="720"/>
        <w:jc w:val="both"/>
        <w:rPr>
          <w:color w:val="000000" w:themeColor="text1"/>
          <w:spacing w:val="-6"/>
          <w:sz w:val="28"/>
          <w:szCs w:val="28"/>
          <w14:textFill>
            <w14:solidFill>
              <w14:schemeClr w14:val="tx1"/>
            </w14:solidFill>
          </w14:textFill>
        </w:rPr>
      </w:pPr>
      <w:r>
        <w:rPr>
          <w:color w:val="000000" w:themeColor="text1"/>
          <w:spacing w:val="-6"/>
          <w:sz w:val="28"/>
          <w:szCs w:val="28"/>
          <w14:textFill>
            <w14:solidFill>
              <w14:schemeClr w14:val="tx1"/>
            </w14:solidFill>
          </w14:textFill>
        </w:rPr>
        <w:t>Các cơ quan, đơn vị trên địa bàn xã thực hiện nghiêm chế độ trực trong thời gian nghỉ lễ Quốc khánh 02/9 theo quy định; duy trì thông tin liên lạc thông suốt; chủ động nắm chắc tình hình địa bàn, kịp thời tiếp nhận, xử lý các vụ việc phát sinh.</w:t>
      </w:r>
    </w:p>
    <w:p w14:paraId="7DAC32E0">
      <w:pPr>
        <w:pStyle w:val="22"/>
        <w:spacing w:beforeAutospacing="0" w:afterAutospacing="0" w:line="0" w:lineRule="atLeast"/>
        <w:ind w:firstLine="720"/>
        <w:jc w:val="both"/>
        <w:rPr>
          <w:color w:val="000000" w:themeColor="text1"/>
          <w:spacing w:val="-6"/>
          <w:sz w:val="28"/>
          <w:szCs w:val="28"/>
          <w14:textFill>
            <w14:solidFill>
              <w14:schemeClr w14:val="tx1"/>
            </w14:solidFill>
          </w14:textFill>
        </w:rPr>
      </w:pPr>
      <w:r>
        <w:rPr>
          <w:color w:val="000000" w:themeColor="text1"/>
          <w:spacing w:val="-6"/>
          <w:sz w:val="28"/>
          <w:szCs w:val="28"/>
          <w14:textFill>
            <w14:solidFill>
              <w14:schemeClr w14:val="tx1"/>
            </w14:solidFill>
          </w14:textFill>
        </w:rPr>
        <w:t>Cán bộ, công chức, viên chức và người lao động cơ bản chấp hành nghiêm kỷ luật, kỷ cương hành chính; thực hiện các quy định của Đảng, Nhà nước về thực hành tiết kiệm, chống lãng phí và bảo đảm an toàn trong thời gian nghỉ lễ.</w:t>
      </w:r>
    </w:p>
    <w:p w14:paraId="5228B74E">
      <w:pPr>
        <w:pStyle w:val="22"/>
        <w:spacing w:beforeAutospacing="0" w:afterAutospacing="0" w:line="0" w:lineRule="atLeast"/>
        <w:ind w:firstLine="720"/>
        <w:jc w:val="both"/>
        <w:rPr>
          <w:color w:val="000000" w:themeColor="text1"/>
          <w:spacing w:val="-6"/>
          <w:sz w:val="28"/>
          <w:szCs w:val="28"/>
          <w14:textFill>
            <w14:solidFill>
              <w14:schemeClr w14:val="tx1"/>
            </w14:solidFill>
          </w14:textFill>
        </w:rPr>
      </w:pPr>
      <w:r>
        <w:rPr>
          <w:color w:val="000000" w:themeColor="text1"/>
          <w:spacing w:val="-6"/>
          <w:sz w:val="28"/>
          <w:szCs w:val="28"/>
          <w14:textFill>
            <w14:solidFill>
              <w14:schemeClr w14:val="tx1"/>
            </w14:solidFill>
          </w14:textFill>
        </w:rPr>
        <w:t>Đời sống Nhân dân trên địa bàn cơ bản ổn định; các hoạt động phục vụ nhu cầu thiết yếu được duy trì bình thường, không xảy ra tình trạng ách tắc, gián đoạn trong cung cấp các dịch vụ thiết yếu.</w:t>
      </w:r>
    </w:p>
    <w:p w14:paraId="7F0D15F5">
      <w:pPr>
        <w:pStyle w:val="22"/>
        <w:spacing w:beforeAutospacing="0" w:afterAutospacing="0" w:line="0" w:lineRule="atLeast"/>
        <w:ind w:firstLine="720"/>
        <w:jc w:val="both"/>
        <w:rPr>
          <w:color w:val="000000" w:themeColor="text1"/>
          <w:spacing w:val="-6"/>
          <w:sz w:val="28"/>
          <w:szCs w:val="28"/>
          <w14:textFill>
            <w14:solidFill>
              <w14:schemeClr w14:val="tx1"/>
            </w14:solidFill>
          </w14:textFill>
        </w:rPr>
      </w:pPr>
      <w:r>
        <w:rPr>
          <w:b/>
          <w:bCs/>
          <w:color w:val="000000" w:themeColor="text1"/>
          <w:spacing w:val="-6"/>
          <w:sz w:val="28"/>
          <w:szCs w:val="28"/>
          <w14:textFill>
            <w14:solidFill>
              <w14:schemeClr w14:val="tx1"/>
            </w14:solidFill>
          </w14:textFill>
        </w:rPr>
        <w:t>2. Công tác y tế, khám, chữa bệnh; phòng, chống dịch bệnh; bảo đảm an toàn thực phẩm</w:t>
      </w:r>
    </w:p>
    <w:p w14:paraId="3410440D">
      <w:pPr>
        <w:pStyle w:val="22"/>
        <w:spacing w:beforeAutospacing="0" w:afterAutospacing="0" w:line="0" w:lineRule="atLeast"/>
        <w:ind w:firstLine="720"/>
        <w:jc w:val="both"/>
        <w:rPr>
          <w:color w:val="000000" w:themeColor="text1"/>
          <w:spacing w:val="-6"/>
          <w:sz w:val="28"/>
          <w:szCs w:val="28"/>
          <w14:textFill>
            <w14:solidFill>
              <w14:schemeClr w14:val="tx1"/>
            </w14:solidFill>
          </w14:textFill>
        </w:rPr>
      </w:pPr>
      <w:r>
        <w:rPr>
          <w:color w:val="000000" w:themeColor="text1"/>
          <w:spacing w:val="-6"/>
          <w:sz w:val="28"/>
          <w:szCs w:val="28"/>
          <w14:textFill>
            <w14:solidFill>
              <w14:schemeClr w14:val="tx1"/>
            </w14:solidFill>
          </w14:textFill>
        </w:rPr>
        <w:t>Công tác trực khám, chữa bệnh trong thời gian nghỉ lễ được duy trì theo quy định, bảo đảm thường trực cấp cứu, khám, chữa bệnh và đáp ứng nhu cầu chăm sóc sức khỏe của Nhân dân.</w:t>
      </w:r>
    </w:p>
    <w:p w14:paraId="6F0F7DDD">
      <w:pPr>
        <w:pStyle w:val="22"/>
        <w:spacing w:beforeAutospacing="0" w:afterAutospacing="0" w:line="0" w:lineRule="atLeast"/>
        <w:ind w:firstLine="720"/>
        <w:jc w:val="both"/>
        <w:rPr>
          <w:color w:val="000000" w:themeColor="text1"/>
          <w:spacing w:val="-6"/>
          <w:sz w:val="28"/>
          <w:szCs w:val="28"/>
          <w14:textFill>
            <w14:solidFill>
              <w14:schemeClr w14:val="tx1"/>
            </w14:solidFill>
          </w14:textFill>
        </w:rPr>
      </w:pPr>
      <w:r>
        <w:rPr>
          <w:color w:val="000000" w:themeColor="text1"/>
          <w:spacing w:val="-6"/>
          <w:sz w:val="28"/>
          <w:szCs w:val="28"/>
          <w14:textFill>
            <w14:solidFill>
              <w14:schemeClr w14:val="tx1"/>
            </w14:solidFill>
          </w14:textFill>
        </w:rPr>
        <w:t>Công tác giám sát, phòng, chống dịch bệnh được tăng cường; chủ động theo dõi, nắm chắc tình hình và sẵn sàng triển khai các biện pháp phòng, chống khi có tình huống phát sinh. Trong thời gian nghỉ lễ, tình hình dịch bệnh trên địa bàn ổn định, không phát sinh dịch bệnh nguy hiểm, dịch bệnh truyền nhiễm đáng chú ý.</w:t>
      </w:r>
    </w:p>
    <w:p w14:paraId="405C6AA4">
      <w:pPr>
        <w:pStyle w:val="22"/>
        <w:spacing w:beforeAutospacing="0" w:afterAutospacing="0" w:line="0" w:lineRule="atLeast"/>
        <w:ind w:firstLine="720"/>
        <w:jc w:val="both"/>
        <w:rPr>
          <w:color w:val="000000" w:themeColor="text1"/>
          <w:spacing w:val="-6"/>
          <w:sz w:val="28"/>
          <w:szCs w:val="28"/>
          <w14:textFill>
            <w14:solidFill>
              <w14:schemeClr w14:val="tx1"/>
            </w14:solidFill>
          </w14:textFill>
        </w:rPr>
      </w:pPr>
      <w:r>
        <w:rPr>
          <w:color w:val="000000" w:themeColor="text1"/>
          <w:spacing w:val="-6"/>
          <w:sz w:val="28"/>
          <w:szCs w:val="28"/>
          <w14:textFill>
            <w14:solidFill>
              <w14:schemeClr w14:val="tx1"/>
            </w14:solidFill>
          </w14:textFill>
        </w:rPr>
        <w:t>Công tác bảo đảm an toàn thực phẩm được quan tâm; tăng cường tuyên truyền, hướng dẫn các cơ sở sản xuất, kinh doanh thực phẩm và Nhân dân chấp hành các quy định về vệ sinh, an toàn thực phẩm. Không xảy ra vụ ngộ độc thực phẩm trên địa bàn.</w:t>
      </w:r>
    </w:p>
    <w:p w14:paraId="3473EA06">
      <w:pPr>
        <w:pStyle w:val="22"/>
        <w:spacing w:beforeAutospacing="0" w:afterAutospacing="0" w:line="0" w:lineRule="atLeast"/>
        <w:ind w:firstLine="720"/>
        <w:jc w:val="both"/>
        <w:rPr>
          <w:color w:val="000000" w:themeColor="text1"/>
          <w:spacing w:val="-6"/>
          <w:sz w:val="28"/>
          <w:szCs w:val="28"/>
          <w14:textFill>
            <w14:solidFill>
              <w14:schemeClr w14:val="tx1"/>
            </w14:solidFill>
          </w14:textFill>
        </w:rPr>
      </w:pPr>
      <w:r>
        <w:rPr>
          <w:b/>
          <w:bCs/>
          <w:color w:val="000000" w:themeColor="text1"/>
          <w:spacing w:val="-6"/>
          <w:sz w:val="28"/>
          <w:szCs w:val="28"/>
          <w14:textFill>
            <w14:solidFill>
              <w14:schemeClr w14:val="tx1"/>
            </w14:solidFill>
          </w14:textFill>
        </w:rPr>
        <w:t>3. Công tác bảo đảm trật tự, an toàn giao thông; cung cấp điện, nước, thông tin liên lạc và các dịch vụ thiết yếu</w:t>
      </w:r>
    </w:p>
    <w:p w14:paraId="5DE5B6DA">
      <w:pPr>
        <w:pStyle w:val="22"/>
        <w:spacing w:beforeAutospacing="0" w:afterAutospacing="0" w:line="0" w:lineRule="atLeast"/>
        <w:ind w:firstLine="720"/>
        <w:jc w:val="both"/>
        <w:rPr>
          <w:color w:val="000000" w:themeColor="text1"/>
          <w:spacing w:val="-6"/>
          <w:sz w:val="28"/>
          <w:szCs w:val="28"/>
          <w14:textFill>
            <w14:solidFill>
              <w14:schemeClr w14:val="tx1"/>
            </w14:solidFill>
          </w14:textFill>
        </w:rPr>
      </w:pPr>
      <w:r>
        <w:rPr>
          <w:color w:val="000000" w:themeColor="text1"/>
          <w:spacing w:val="-6"/>
          <w:sz w:val="28"/>
          <w:szCs w:val="28"/>
          <w14:textFill>
            <w14:solidFill>
              <w14:schemeClr w14:val="tx1"/>
            </w14:solidFill>
          </w14:textFill>
        </w:rPr>
        <w:t>Chỉ đạo các lực lượng chức năng tăng cường tuần tra, kiểm soát, phân luồng, điều tiết giao thông tại các tuyến đường trọng điểm, khu vực tập trung đông người và các điểm du lịch. Tình hình giao thông trên địa bàn cơ bản thông suốt, an toàn; không xảy ra tai nạn giao thông, ùn tắc kéo dài.</w:t>
      </w:r>
    </w:p>
    <w:p w14:paraId="50A4BEC2">
      <w:pPr>
        <w:pStyle w:val="22"/>
        <w:spacing w:beforeAutospacing="0" w:afterAutospacing="0" w:line="0" w:lineRule="atLeast"/>
        <w:ind w:firstLine="720"/>
        <w:jc w:val="both"/>
        <w:rPr>
          <w:color w:val="000000" w:themeColor="text1"/>
          <w:spacing w:val="-6"/>
          <w:sz w:val="28"/>
          <w:szCs w:val="28"/>
          <w14:textFill>
            <w14:solidFill>
              <w14:schemeClr w14:val="tx1"/>
            </w14:solidFill>
          </w14:textFill>
        </w:rPr>
      </w:pPr>
      <w:r>
        <w:rPr>
          <w:color w:val="000000" w:themeColor="text1"/>
          <w:spacing w:val="-6"/>
          <w:sz w:val="28"/>
          <w:szCs w:val="28"/>
          <w14:textFill>
            <w14:solidFill>
              <w14:schemeClr w14:val="tx1"/>
            </w14:solidFill>
          </w14:textFill>
        </w:rPr>
        <w:t>Phối hợp với các đơn vị quản lý, vận hành điện, nước duy trì chế độ trực, bảo đảm nguồn cung liên tục, đáp ứng nhu cầu sinh hoạt và hoạt động dịch vụ. Hạ tầng viễn thông, mạng internet và hệ thống thông tin cơ sở được duy trì ổn định, thông suốt; công tác bảo đảm an toàn thông tin mạng được thực hiện theo quy định.</w:t>
      </w:r>
    </w:p>
    <w:p w14:paraId="5B36F217">
      <w:pPr>
        <w:pStyle w:val="22"/>
        <w:spacing w:beforeAutospacing="0" w:afterAutospacing="0" w:line="0" w:lineRule="atLeast"/>
        <w:ind w:firstLine="720"/>
        <w:jc w:val="both"/>
        <w:rPr>
          <w:color w:val="000000" w:themeColor="text1"/>
          <w:spacing w:val="-6"/>
          <w:sz w:val="28"/>
          <w:szCs w:val="28"/>
          <w14:textFill>
            <w14:solidFill>
              <w14:schemeClr w14:val="tx1"/>
            </w14:solidFill>
          </w14:textFill>
        </w:rPr>
      </w:pPr>
      <w:r>
        <w:rPr>
          <w:color w:val="000000" w:themeColor="text1"/>
          <w:spacing w:val="-6"/>
          <w:sz w:val="28"/>
          <w:szCs w:val="28"/>
          <w14:textFill>
            <w14:solidFill>
              <w14:schemeClr w14:val="tx1"/>
            </w14:solidFill>
          </w14:textFill>
        </w:rPr>
        <w:t>Các mặt hàng lương thực, thực phẩm, xăng dầu và hàng hóa tiêu dùng thiết yếu được cung ứng đầy đủ, giá cả cơ bản ổn định, không xảy ra tình trạng đầu cơ, găm hàng, tăng giá bất hợp lý. Công tác vệ sinh môi trường tại khu vực trung tâm xã, các điểm công cộng và điểm du lịch được duy trì.</w:t>
      </w:r>
    </w:p>
    <w:p w14:paraId="65F23F7C">
      <w:pPr>
        <w:pStyle w:val="22"/>
        <w:spacing w:beforeAutospacing="0" w:afterAutospacing="0" w:line="0" w:lineRule="atLeast"/>
        <w:ind w:firstLine="720"/>
        <w:jc w:val="both"/>
        <w:rPr>
          <w:color w:val="000000" w:themeColor="text1"/>
          <w:spacing w:val="-6"/>
          <w:sz w:val="28"/>
          <w:szCs w:val="28"/>
          <w14:textFill>
            <w14:solidFill>
              <w14:schemeClr w14:val="tx1"/>
            </w14:solidFill>
          </w14:textFill>
        </w:rPr>
      </w:pPr>
      <w:r>
        <w:rPr>
          <w:b/>
          <w:bCs/>
          <w:color w:val="000000" w:themeColor="text1"/>
          <w:spacing w:val="-6"/>
          <w:sz w:val="28"/>
          <w:szCs w:val="28"/>
          <w14:textFill>
            <w14:solidFill>
              <w14:schemeClr w14:val="tx1"/>
            </w14:solidFill>
          </w14:textFill>
        </w:rPr>
        <w:t>4. Công tác quản lý, tổ chức các hoạt động văn hóa, du lịch, vui chơi, giải trí phục vụ Nhân dân và du khách</w:t>
      </w:r>
    </w:p>
    <w:p w14:paraId="197A5DCD">
      <w:pPr>
        <w:pStyle w:val="22"/>
        <w:spacing w:beforeAutospacing="0" w:afterAutospacing="0" w:line="0" w:lineRule="atLeast"/>
        <w:ind w:firstLine="720"/>
        <w:jc w:val="both"/>
        <w:rPr>
          <w:color w:val="000000" w:themeColor="text1"/>
          <w:spacing w:val="-6"/>
          <w:sz w:val="28"/>
          <w:szCs w:val="28"/>
          <w14:textFill>
            <w14:solidFill>
              <w14:schemeClr w14:val="tx1"/>
            </w14:solidFill>
          </w14:textFill>
        </w:rPr>
      </w:pPr>
      <w:r>
        <w:rPr>
          <w:color w:val="000000" w:themeColor="text1"/>
          <w:spacing w:val="-6"/>
          <w:sz w:val="28"/>
          <w:szCs w:val="28"/>
          <w14:textFill>
            <w14:solidFill>
              <w14:schemeClr w14:val="tx1"/>
            </w14:solidFill>
          </w14:textFill>
        </w:rPr>
        <w:t>Đẩy mạnh tuyên truyền chào mừng Quốc khánh 02/9 trên hệ thống thông tin cơ sở, trang thông tin điện tử và các nhóm cộng đồng; tuyên truyền, vận động Nhân dân thực hiện nếp sống văn minh, giữ gìn vệ sinh môi trường và chấp hành các quy định của pháp luật.</w:t>
      </w:r>
    </w:p>
    <w:p w14:paraId="066D4E94">
      <w:pPr>
        <w:pStyle w:val="22"/>
        <w:spacing w:beforeAutospacing="0" w:afterAutospacing="0" w:line="0" w:lineRule="atLeast"/>
        <w:ind w:firstLine="720"/>
        <w:jc w:val="both"/>
        <w:rPr>
          <w:color w:val="000000" w:themeColor="text1"/>
          <w:spacing w:val="-6"/>
          <w:sz w:val="28"/>
          <w:szCs w:val="28"/>
          <w14:textFill>
            <w14:solidFill>
              <w14:schemeClr w14:val="tx1"/>
            </w14:solidFill>
          </w14:textFill>
        </w:rPr>
      </w:pPr>
      <w:r>
        <w:rPr>
          <w:color w:val="000000" w:themeColor="text1"/>
          <w:spacing w:val="-6"/>
          <w:sz w:val="28"/>
          <w:szCs w:val="28"/>
          <w14:textFill>
            <w14:solidFill>
              <w14:schemeClr w14:val="tx1"/>
            </w14:solidFill>
          </w14:textFill>
        </w:rPr>
        <w:t>Các hoạt động văn hóa, văn nghệ, thể thao, vui chơi, giải trí được tổ chức phù hợp, tạo không khí vui tươi, phấn khởi trong Nhân dân. Công tác quản lý các cơ sở lưu trú, dịch vụ ăn uống, điểm tham quan được tăng cường, chú trọng việc niêm yết giá, bảo đảm an toàn thực phẩm và chất lượng phục vụ.</w:t>
      </w:r>
    </w:p>
    <w:p w14:paraId="2A6C33B9">
      <w:pPr>
        <w:pStyle w:val="22"/>
        <w:spacing w:beforeAutospacing="0" w:afterAutospacing="0" w:line="0" w:lineRule="atLeast"/>
        <w:ind w:firstLine="720"/>
        <w:jc w:val="both"/>
        <w:rPr>
          <w:color w:val="000000" w:themeColor="text1"/>
          <w:spacing w:val="-6"/>
          <w:sz w:val="28"/>
          <w:szCs w:val="28"/>
          <w14:textFill>
            <w14:solidFill>
              <w14:schemeClr w14:val="tx1"/>
            </w14:solidFill>
          </w14:textFill>
        </w:rPr>
      </w:pPr>
      <w:r>
        <w:rPr>
          <w:color w:val="000000" w:themeColor="text1"/>
          <w:spacing w:val="-6"/>
          <w:sz w:val="28"/>
          <w:szCs w:val="28"/>
          <w14:textFill>
            <w14:solidFill>
              <w14:schemeClr w14:val="tx1"/>
            </w14:solidFill>
          </w14:textFill>
        </w:rPr>
        <w:t>Hoạt động du lịch trên địa bàn diễn ra sôi động, ghi nhận tín hiệu tích cực; các lực lượng chức năng phối hợp bảo đảm an ninh, an toàn tại các điểm du lịch. Các hoạt động văn hóa, du lịch, vui chơi, giải trí diễn ra an toàn, lành mạnh, đúng quy định.</w:t>
      </w:r>
    </w:p>
    <w:p w14:paraId="1408FD47">
      <w:pPr>
        <w:pStyle w:val="22"/>
        <w:spacing w:beforeAutospacing="0" w:afterAutospacing="0" w:line="0" w:lineRule="atLeast"/>
        <w:ind w:firstLine="720"/>
        <w:jc w:val="both"/>
        <w:rPr>
          <w:color w:val="000000" w:themeColor="text1"/>
          <w:spacing w:val="-6"/>
          <w:sz w:val="28"/>
          <w:szCs w:val="28"/>
          <w14:textFill>
            <w14:solidFill>
              <w14:schemeClr w14:val="tx1"/>
            </w14:solidFill>
          </w14:textFill>
        </w:rPr>
      </w:pPr>
      <w:r>
        <w:rPr>
          <w:b/>
          <w:bCs/>
          <w:color w:val="000000" w:themeColor="text1"/>
          <w:spacing w:val="-6"/>
          <w:sz w:val="28"/>
          <w:szCs w:val="28"/>
          <w14:textFill>
            <w14:solidFill>
              <w14:schemeClr w14:val="tx1"/>
            </w14:solidFill>
          </w14:textFill>
        </w:rPr>
        <w:t>5. Công tác chuẩn bị khai giảng năm học mới 2026–2027</w:t>
      </w:r>
    </w:p>
    <w:p w14:paraId="37E941B1">
      <w:pPr>
        <w:pStyle w:val="22"/>
        <w:spacing w:beforeAutospacing="0" w:afterAutospacing="0" w:line="0" w:lineRule="atLeast"/>
        <w:ind w:firstLine="720"/>
        <w:jc w:val="both"/>
        <w:rPr>
          <w:color w:val="000000" w:themeColor="text1"/>
          <w:spacing w:val="-6"/>
          <w:sz w:val="28"/>
          <w:szCs w:val="28"/>
          <w14:textFill>
            <w14:solidFill>
              <w14:schemeClr w14:val="tx1"/>
            </w14:solidFill>
          </w14:textFill>
        </w:rPr>
      </w:pPr>
      <w:r>
        <w:rPr>
          <w:color w:val="000000" w:themeColor="text1"/>
          <w:spacing w:val="-6"/>
          <w:sz w:val="28"/>
          <w:szCs w:val="28"/>
          <w14:textFill>
            <w14:solidFill>
              <w14:schemeClr w14:val="tx1"/>
            </w14:solidFill>
          </w14:textFill>
        </w:rPr>
        <w:t>Đảng ủy xã đã chỉ đạo các trường học trên địa bàn chủ động chuẩn bị toàn diện các điều kiện phục vụ năm học mới 2026</w:t>
      </w:r>
      <w:r>
        <w:rPr>
          <w:rFonts w:hint="default"/>
          <w:color w:val="000000" w:themeColor="text1"/>
          <w:spacing w:val="-6"/>
          <w:sz w:val="28"/>
          <w:szCs w:val="28"/>
          <w:lang w:val="en-US"/>
          <w14:textFill>
            <w14:solidFill>
              <w14:schemeClr w14:val="tx1"/>
            </w14:solidFill>
          </w14:textFill>
        </w:rPr>
        <w:t xml:space="preserve"> - </w:t>
      </w:r>
      <w:r>
        <w:rPr>
          <w:color w:val="000000" w:themeColor="text1"/>
          <w:spacing w:val="-6"/>
          <w:sz w:val="28"/>
          <w:szCs w:val="28"/>
          <w14:textFill>
            <w14:solidFill>
              <w14:schemeClr w14:val="tx1"/>
            </w14:solidFill>
          </w14:textFill>
        </w:rPr>
        <w:t>2027; rà soát, bố trí đội ngũ cán bộ quản lý, giáo viên, nhân viên; tập trung sửa chữa cơ sở vật chất, phòng học, hệ thống điện, nước; vệ sinh, chỉnh trang khuôn viên, trường, lớp.</w:t>
      </w:r>
    </w:p>
    <w:p w14:paraId="0A8A0649">
      <w:pPr>
        <w:pStyle w:val="22"/>
        <w:spacing w:beforeAutospacing="0" w:afterAutospacing="0" w:line="0" w:lineRule="atLeast"/>
        <w:ind w:firstLine="720"/>
        <w:jc w:val="both"/>
        <w:rPr>
          <w:color w:val="000000" w:themeColor="text1"/>
          <w:spacing w:val="-6"/>
          <w:sz w:val="28"/>
          <w:szCs w:val="28"/>
          <w14:textFill>
            <w14:solidFill>
              <w14:schemeClr w14:val="tx1"/>
            </w14:solidFill>
          </w14:textFill>
        </w:rPr>
      </w:pPr>
      <w:r>
        <w:rPr>
          <w:color w:val="000000" w:themeColor="text1"/>
          <w:spacing w:val="-6"/>
          <w:sz w:val="28"/>
          <w:szCs w:val="28"/>
          <w14:textFill>
            <w14:solidFill>
              <w14:schemeClr w14:val="tx1"/>
            </w14:solidFill>
          </w14:textFill>
        </w:rPr>
        <w:t>Chỉ đạo các nhà trường phối hợp với các thôn, gia đình vận động tối đa học sinh trong độ tuổi ra lớp, đặc biệt là học sinh đầu cấp; quan tâm hỗ trợ học sinh thuộc hộ nghèo, hộ cận nghèo, học sinh dân tộc thiểu số và học sinh có hoàn cảnh khó khăn. Công tác chuẩn bị lễ khai giảng năm học mới được triển khai theo hướng trang trọng, gọn nhẹ, thiết thực, an toàn và tiết kiệm.</w:t>
      </w:r>
    </w:p>
    <w:p w14:paraId="6C1FCFF8">
      <w:pPr>
        <w:pStyle w:val="22"/>
        <w:spacing w:beforeAutospacing="0" w:afterAutospacing="0" w:line="0" w:lineRule="atLeast"/>
        <w:ind w:firstLine="720"/>
        <w:jc w:val="both"/>
        <w:rPr>
          <w:color w:val="000000" w:themeColor="text1"/>
          <w:spacing w:val="-6"/>
          <w:sz w:val="28"/>
          <w:szCs w:val="28"/>
          <w14:textFill>
            <w14:solidFill>
              <w14:schemeClr w14:val="tx1"/>
            </w14:solidFill>
          </w14:textFill>
        </w:rPr>
      </w:pPr>
      <w:r>
        <w:rPr>
          <w:color w:val="000000" w:themeColor="text1"/>
          <w:spacing w:val="-6"/>
          <w:sz w:val="28"/>
          <w:szCs w:val="28"/>
          <w14:textFill>
            <w14:solidFill>
              <w14:schemeClr w14:val="tx1"/>
            </w14:solidFill>
          </w14:textFill>
        </w:rPr>
        <w:t>Thực hiện chủ trương sắp xếp, tinh gọn mạng lưới cơ sở giáo dục, xã đã triển khai việc sáp nhập các trường mầm non, tiểu học và trung học cơ sở theo phương án được cấp có thẩm quyền phê duyệt. Đội ngũ giáo viên được rà soát, bố trí, phân công theo vị trí việc làm; từng bước triển khai giảng dạy liên thông giữa cấp tiểu học và trung học cơ sở, góp phần khắc phục tình trạng thừa, thiếu giáo viên cục bộ.</w:t>
      </w:r>
    </w:p>
    <w:p w14:paraId="1B7A58CE">
      <w:pPr>
        <w:pStyle w:val="22"/>
        <w:spacing w:beforeAutospacing="0" w:afterAutospacing="0" w:line="0" w:lineRule="atLeast"/>
        <w:ind w:firstLine="720"/>
        <w:jc w:val="both"/>
        <w:rPr>
          <w:color w:val="000000" w:themeColor="text1"/>
          <w:spacing w:val="-6"/>
          <w:sz w:val="28"/>
          <w:szCs w:val="28"/>
          <w14:textFill>
            <w14:solidFill>
              <w14:schemeClr w14:val="tx1"/>
            </w14:solidFill>
          </w14:textFill>
        </w:rPr>
      </w:pPr>
      <w:r>
        <w:rPr>
          <w:color w:val="000000" w:themeColor="text1"/>
          <w:spacing w:val="-6"/>
          <w:sz w:val="28"/>
          <w:szCs w:val="28"/>
          <w14:textFill>
            <w14:solidFill>
              <w14:schemeClr w14:val="tx1"/>
            </w14:solidFill>
          </w14:textFill>
        </w:rPr>
        <w:t>Cơ sở vật chất, phòng học, phòng chức năng và hạ tầng phục vụ công tác nuôi dưỡng, sinh hoạt bán trú cơ bản đáp ứng yêu cầu dạy và học. Các điểm trường lẻ cần thiết tiếp tục được duy trì, tạo điều kiện thuận lợi cho học sinh tại các khu vực xa trung tâm đến trường.</w:t>
      </w:r>
    </w:p>
    <w:p w14:paraId="3FAD861E">
      <w:pPr>
        <w:pStyle w:val="22"/>
        <w:spacing w:beforeAutospacing="0" w:afterAutospacing="0" w:line="0" w:lineRule="atLeast"/>
        <w:ind w:firstLine="720"/>
        <w:jc w:val="both"/>
        <w:rPr>
          <w:color w:val="000000" w:themeColor="text1"/>
          <w:spacing w:val="-6"/>
          <w:sz w:val="28"/>
          <w:szCs w:val="28"/>
          <w14:textFill>
            <w14:solidFill>
              <w14:schemeClr w14:val="tx1"/>
            </w14:solidFill>
          </w14:textFill>
        </w:rPr>
      </w:pPr>
      <w:r>
        <w:rPr>
          <w:color w:val="000000" w:themeColor="text1"/>
          <w:spacing w:val="-6"/>
          <w:sz w:val="28"/>
          <w:szCs w:val="28"/>
          <w14:textFill>
            <w14:solidFill>
              <w14:schemeClr w14:val="tx1"/>
            </w14:solidFill>
          </w14:textFill>
        </w:rPr>
        <w:t>Qua rà soát, một số điểm trường sau sắp xếp còn thiếu cục bộ một số trang thiết bị thiết yếu như bàn, ghế học sinh, phản nằm nghỉ trưa. Đảng ủy xã đã giao UBND xã tổng hợp nhu cầu, bảo đảm các điều kiện phục vụ năm học mới.</w:t>
      </w:r>
    </w:p>
    <w:p w14:paraId="7EFEF7F9">
      <w:pPr>
        <w:pStyle w:val="22"/>
        <w:spacing w:beforeAutospacing="0" w:afterAutospacing="0" w:line="0" w:lineRule="atLeast"/>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Chỉ đạo các trường phối hợp với Công an xã tăng cường tuyên truyền, vận động phụ huynh, học sinh chấp hành nghiêm các quy định về trật tự, an toàn giao thông; phòng, chống tai nạn, thương tích, đuối nước và các nguy cơ mất an toàn đối với trẻ em, học sinh.</w:t>
      </w:r>
    </w:p>
    <w:p w14:paraId="167C0BD0">
      <w:pPr>
        <w:pStyle w:val="22"/>
        <w:spacing w:beforeAutospacing="0" w:afterAutospacing="0" w:line="0" w:lineRule="atLeast"/>
        <w:ind w:firstLine="720"/>
        <w:jc w:val="both"/>
        <w:rPr>
          <w:color w:val="000000" w:themeColor="text1"/>
          <w:spacing w:val="-6"/>
          <w:sz w:val="28"/>
          <w:szCs w:val="28"/>
          <w14:textFill>
            <w14:solidFill>
              <w14:schemeClr w14:val="tx1"/>
            </w14:solidFill>
          </w14:textFill>
        </w:rPr>
      </w:pPr>
      <w:r>
        <w:rPr>
          <w:color w:val="000000" w:themeColor="text1"/>
          <w:spacing w:val="-6"/>
          <w:sz w:val="28"/>
          <w:szCs w:val="28"/>
          <w14:textFill>
            <w14:solidFill>
              <w14:schemeClr w14:val="tx1"/>
            </w14:solidFill>
          </w14:textFill>
        </w:rPr>
        <w:t>Đồng thời, tổ chức rà soát các điều kiện về phòng cháy, chữa cháy; an toàn thực phẩm tại các bếp ăn bán trú; an ninh, trật tự khu vực trường học, bảo đảm môi trường giáo dục an toàn cho cán bộ, giáo viên, nhân viên và học sinh.</w:t>
      </w:r>
    </w:p>
    <w:p w14:paraId="2FDDE3E2">
      <w:pPr>
        <w:pStyle w:val="22"/>
        <w:spacing w:beforeAutospacing="0" w:afterAutospacing="0" w:line="0" w:lineRule="atLeast"/>
        <w:ind w:firstLine="720"/>
        <w:jc w:val="both"/>
        <w:rPr>
          <w:color w:val="000000" w:themeColor="text1"/>
          <w:spacing w:val="-6"/>
          <w:sz w:val="28"/>
          <w:szCs w:val="28"/>
          <w14:textFill>
            <w14:solidFill>
              <w14:schemeClr w14:val="tx1"/>
            </w14:solidFill>
          </w14:textFill>
        </w:rPr>
      </w:pPr>
      <w:r>
        <w:rPr>
          <w:color w:val="000000" w:themeColor="text1"/>
          <w:spacing w:val="-6"/>
          <w:sz w:val="28"/>
          <w:szCs w:val="28"/>
          <w14:textFill>
            <w14:solidFill>
              <w14:schemeClr w14:val="tx1"/>
            </w14:solidFill>
          </w14:textFill>
        </w:rPr>
        <w:t>Nhìn chung, công tác chuẩn bị năm học mới 2026</w:t>
      </w:r>
      <w:r>
        <w:rPr>
          <w:rFonts w:hint="default"/>
          <w:color w:val="000000" w:themeColor="text1"/>
          <w:spacing w:val="-6"/>
          <w:sz w:val="28"/>
          <w:szCs w:val="28"/>
          <w:lang w:val="en-US"/>
          <w14:textFill>
            <w14:solidFill>
              <w14:schemeClr w14:val="tx1"/>
            </w14:solidFill>
          </w14:textFill>
        </w:rPr>
        <w:t xml:space="preserve"> - </w:t>
      </w:r>
      <w:r>
        <w:rPr>
          <w:color w:val="000000" w:themeColor="text1"/>
          <w:spacing w:val="-6"/>
          <w:sz w:val="28"/>
          <w:szCs w:val="28"/>
          <w14:textFill>
            <w14:solidFill>
              <w14:schemeClr w14:val="tx1"/>
            </w14:solidFill>
          </w14:textFill>
        </w:rPr>
        <w:t>2027 trên địa bàn xã được triển khai chủ động, nghiêm túc; các điều kiện phục vụ lễ khai giảng và ngày hội toàn dân đưa trẻ đến trường cơ bản được chuẩn bị đầy đủ, bảo đảm an toàn, thuận lợi.</w:t>
      </w:r>
    </w:p>
    <w:p w14:paraId="6E7C2D37">
      <w:pPr>
        <w:pStyle w:val="22"/>
        <w:spacing w:beforeAutospacing="0" w:afterAutospacing="0" w:line="0" w:lineRule="atLeast"/>
        <w:ind w:firstLine="720"/>
        <w:jc w:val="both"/>
        <w:rPr>
          <w:color w:val="000000" w:themeColor="text1"/>
          <w:spacing w:val="-6"/>
          <w:sz w:val="28"/>
          <w:szCs w:val="28"/>
          <w14:textFill>
            <w14:solidFill>
              <w14:schemeClr w14:val="tx1"/>
            </w14:solidFill>
          </w14:textFill>
        </w:rPr>
      </w:pPr>
      <w:r>
        <w:rPr>
          <w:b/>
          <w:bCs/>
          <w:color w:val="000000" w:themeColor="text1"/>
          <w:spacing w:val="-6"/>
          <w:sz w:val="28"/>
          <w:szCs w:val="28"/>
          <w14:textFill>
            <w14:solidFill>
              <w14:schemeClr w14:val="tx1"/>
            </w14:solidFill>
          </w14:textFill>
        </w:rPr>
        <w:t>6. Công tác phòng thủ dân sự; phòng, chống, ứng phó và khắc phục hậu quả thiên tai, sự cố; phòng, chống dịch bệnh trên cây trồng, vật nuôi</w:t>
      </w:r>
    </w:p>
    <w:p w14:paraId="2CDF8833">
      <w:pPr>
        <w:pStyle w:val="22"/>
        <w:spacing w:beforeAutospacing="0" w:afterAutospacing="0" w:line="0" w:lineRule="atLeast"/>
        <w:ind w:firstLine="720"/>
        <w:jc w:val="both"/>
        <w:rPr>
          <w:color w:val="000000" w:themeColor="text1"/>
          <w:spacing w:val="-6"/>
          <w:sz w:val="28"/>
          <w:szCs w:val="28"/>
          <w14:textFill>
            <w14:solidFill>
              <w14:schemeClr w14:val="tx1"/>
            </w14:solidFill>
          </w14:textFill>
        </w:rPr>
      </w:pPr>
      <w:r>
        <w:rPr>
          <w:color w:val="000000" w:themeColor="text1"/>
          <w:spacing w:val="-6"/>
          <w:sz w:val="28"/>
          <w:szCs w:val="28"/>
          <w14:textFill>
            <w14:solidFill>
              <w14:schemeClr w14:val="tx1"/>
            </w14:solidFill>
          </w14:textFill>
        </w:rPr>
        <w:t>Duy trì nghiêm chế độ trực ban 24/24 giờ trong dịp nghỉ lễ; thường xuyên theo dõi diễn biến thời tiết, thiên tai để thông tin, cảnh báo kịp thời đến Nhân dân. Rà soát các phương án, lực lượng, phương tiện, vật tư theo phương châm “4 tại chỗ”, sẵn sàng ứng phó và khắc phục hậu quả khi có thiên tai, sự cố xảy ra.</w:t>
      </w:r>
    </w:p>
    <w:p w14:paraId="1678D1B0">
      <w:pPr>
        <w:pStyle w:val="22"/>
        <w:spacing w:beforeAutospacing="0" w:afterAutospacing="0" w:line="0" w:lineRule="atLeast"/>
        <w:ind w:firstLine="720"/>
        <w:jc w:val="both"/>
        <w:rPr>
          <w:color w:val="000000" w:themeColor="text1"/>
          <w:spacing w:val="-6"/>
          <w:sz w:val="28"/>
          <w:szCs w:val="28"/>
          <w14:textFill>
            <w14:solidFill>
              <w14:schemeClr w14:val="tx1"/>
            </w14:solidFill>
          </w14:textFill>
        </w:rPr>
      </w:pPr>
      <w:r>
        <w:rPr>
          <w:color w:val="000000" w:themeColor="text1"/>
          <w:spacing w:val="-6"/>
          <w:sz w:val="28"/>
          <w:szCs w:val="28"/>
          <w14:textFill>
            <w14:solidFill>
              <w14:schemeClr w14:val="tx1"/>
            </w14:solidFill>
          </w14:textFill>
        </w:rPr>
        <w:t>Trong thời gian nghỉ lễ, tình hình thời tiết trên địa bàn tương đối thuận lợi; không xảy ra thiên tai, sự cố lớn hoặc tình huống bất ngờ ảnh hưởng đến đời sống, sản xuất của Nhân dân.</w:t>
      </w:r>
    </w:p>
    <w:p w14:paraId="34111984">
      <w:pPr>
        <w:pStyle w:val="22"/>
        <w:spacing w:beforeAutospacing="0" w:afterAutospacing="0" w:line="0" w:lineRule="atLeast"/>
        <w:ind w:firstLine="720"/>
        <w:jc w:val="both"/>
        <w:rPr>
          <w:color w:val="000000" w:themeColor="text1"/>
          <w:spacing w:val="-6"/>
          <w:sz w:val="28"/>
          <w:szCs w:val="28"/>
          <w14:textFill>
            <w14:solidFill>
              <w14:schemeClr w14:val="tx1"/>
            </w14:solidFill>
          </w14:textFill>
        </w:rPr>
      </w:pPr>
      <w:r>
        <w:rPr>
          <w:color w:val="000000" w:themeColor="text1"/>
          <w:spacing w:val="-6"/>
          <w:sz w:val="28"/>
          <w:szCs w:val="28"/>
          <w14:textFill>
            <w14:solidFill>
              <w14:schemeClr w14:val="tx1"/>
            </w14:solidFill>
          </w14:textFill>
        </w:rPr>
        <w:t>Công tác phòng, chống dịch bệnh trên cây trồng, vật nuôi tiếp tục được tăng cường; chú trọng kiểm soát dịch bệnh trên đàn gia súc, gia cầm, nhất là bệnh dịch tả lợn châu Phi; tăng cường kiểm tra, kiểm soát hoạt động giết mổ, vận chuyển động vật, sản phẩm động vật. Tình hình dịch bệnh trên cây trồng, vật nuôi cơ bản ổn định.</w:t>
      </w:r>
    </w:p>
    <w:p w14:paraId="0F0CA8DC">
      <w:pPr>
        <w:pStyle w:val="22"/>
        <w:spacing w:beforeAutospacing="0" w:afterAutospacing="0" w:line="0" w:lineRule="atLeast"/>
        <w:ind w:firstLine="720"/>
        <w:jc w:val="both"/>
        <w:rPr>
          <w:color w:val="000000" w:themeColor="text1"/>
          <w:spacing w:val="-6"/>
          <w:sz w:val="28"/>
          <w:szCs w:val="28"/>
          <w14:textFill>
            <w14:solidFill>
              <w14:schemeClr w14:val="tx1"/>
            </w14:solidFill>
          </w14:textFill>
        </w:rPr>
      </w:pPr>
      <w:r>
        <w:rPr>
          <w:b/>
          <w:bCs/>
          <w:color w:val="000000" w:themeColor="text1"/>
          <w:spacing w:val="-6"/>
          <w:sz w:val="28"/>
          <w:szCs w:val="28"/>
          <w14:textFill>
            <w14:solidFill>
              <w14:schemeClr w14:val="tx1"/>
            </w14:solidFill>
          </w14:textFill>
        </w:rPr>
        <w:t>7. Tình hình an ninh chính trị, trật tự, an toàn xã hội; tình hình tội phạm, vi phạm pháp luật và các vụ việc nổi lên, đáng chú ý</w:t>
      </w:r>
    </w:p>
    <w:p w14:paraId="73B6B378">
      <w:pPr>
        <w:pStyle w:val="22"/>
        <w:spacing w:beforeAutospacing="0" w:afterAutospacing="0" w:line="0" w:lineRule="atLeast"/>
        <w:ind w:firstLine="720"/>
        <w:jc w:val="both"/>
        <w:rPr>
          <w:color w:val="000000" w:themeColor="text1"/>
          <w:spacing w:val="-6"/>
          <w:sz w:val="28"/>
          <w:szCs w:val="28"/>
          <w14:textFill>
            <w14:solidFill>
              <w14:schemeClr w14:val="tx1"/>
            </w14:solidFill>
          </w14:textFill>
        </w:rPr>
      </w:pPr>
      <w:r>
        <w:rPr>
          <w:color w:val="000000" w:themeColor="text1"/>
          <w:spacing w:val="-6"/>
          <w:sz w:val="28"/>
          <w:szCs w:val="28"/>
          <w14:textFill>
            <w14:solidFill>
              <w14:schemeClr w14:val="tx1"/>
            </w14:solidFill>
          </w14:textFill>
        </w:rPr>
        <w:t>Đảng ủy xã lãnh đạo, chỉ đạo Công an xã và các lực lượng chức năng chủ động triển khai các phương án, kế hoạch bảo đảm an ninh, trật tự; duy trì nghiêm chế độ trực ban, trực chiến 24/24 giờ; thường xuyên bám sát địa bàn, kịp thời tham mưu xử lý các vấn đề phát sinh ngay từ cơ sở.</w:t>
      </w:r>
    </w:p>
    <w:p w14:paraId="43100199">
      <w:pPr>
        <w:pStyle w:val="22"/>
        <w:spacing w:beforeAutospacing="0" w:afterAutospacing="0" w:line="0" w:lineRule="atLeast"/>
        <w:ind w:firstLine="720"/>
        <w:jc w:val="both"/>
        <w:rPr>
          <w:color w:val="000000" w:themeColor="text1"/>
          <w:spacing w:val="-6"/>
          <w:sz w:val="28"/>
          <w:szCs w:val="28"/>
          <w14:textFill>
            <w14:solidFill>
              <w14:schemeClr w14:val="tx1"/>
            </w14:solidFill>
          </w14:textFill>
        </w:rPr>
      </w:pPr>
      <w:r>
        <w:rPr>
          <w:color w:val="000000" w:themeColor="text1"/>
          <w:spacing w:val="-6"/>
          <w:sz w:val="28"/>
          <w:szCs w:val="28"/>
          <w14:textFill>
            <w14:solidFill>
              <w14:schemeClr w14:val="tx1"/>
            </w14:solidFill>
          </w14:textFill>
        </w:rPr>
        <w:t>Tình hình an ninh nông thôn, an ninh nội bộ, an ninh tôn giáo, dân tộc trên địa bàn tiếp tục được giữ vững, ổn định. Công tác quản lý cư trú, quản lý người đến địa bàn, quản lý các ngành, nghề đầu tư kinh doanh có điều kiện về an ninh, trật tự được tăng cường, nhất là trong thời gian lưu lượng người dân, du khách đi lại, vui chơi, thăm thân tăng cao.</w:t>
      </w:r>
    </w:p>
    <w:p w14:paraId="581A1FED">
      <w:pPr>
        <w:pStyle w:val="22"/>
        <w:spacing w:beforeAutospacing="0" w:afterAutospacing="0" w:line="0" w:lineRule="atLeast"/>
        <w:ind w:firstLine="720"/>
        <w:jc w:val="both"/>
        <w:rPr>
          <w:color w:val="000000" w:themeColor="text1"/>
          <w:spacing w:val="-6"/>
          <w:sz w:val="28"/>
          <w:szCs w:val="28"/>
          <w14:textFill>
            <w14:solidFill>
              <w14:schemeClr w14:val="tx1"/>
            </w14:solidFill>
          </w14:textFill>
        </w:rPr>
      </w:pPr>
      <w:r>
        <w:rPr>
          <w:color w:val="000000" w:themeColor="text1"/>
          <w:spacing w:val="-6"/>
          <w:sz w:val="28"/>
          <w:szCs w:val="28"/>
          <w14:textFill>
            <w14:solidFill>
              <w14:schemeClr w14:val="tx1"/>
            </w14:solidFill>
          </w14:textFill>
        </w:rPr>
        <w:t>Công tác phòng ngừa, đấu tranh với các loại tội phạm và vi phạm pháp luật được chú trọng; lực lượng chức năng tăng cường tuần tra, kiểm soát tại các tuyến, địa bàn và khu vực tập trung đông người; chủ động phòng ngừa các hành vi gây rối trật tự công cộng, trộm cắp tài sản và các hành vi vi phạm pháp luật khác.</w:t>
      </w:r>
    </w:p>
    <w:p w14:paraId="7D479CAA">
      <w:pPr>
        <w:pStyle w:val="22"/>
        <w:spacing w:beforeAutospacing="0" w:afterAutospacing="0" w:line="0" w:lineRule="atLeast"/>
        <w:ind w:firstLine="720"/>
        <w:jc w:val="both"/>
        <w:rPr>
          <w:color w:val="000000" w:themeColor="text1"/>
          <w:spacing w:val="-6"/>
          <w:sz w:val="28"/>
          <w:szCs w:val="28"/>
          <w14:textFill>
            <w14:solidFill>
              <w14:schemeClr w14:val="tx1"/>
            </w14:solidFill>
          </w14:textFill>
        </w:rPr>
      </w:pPr>
      <w:r>
        <w:rPr>
          <w:color w:val="000000" w:themeColor="text1"/>
          <w:spacing w:val="-6"/>
          <w:sz w:val="28"/>
          <w:szCs w:val="28"/>
          <w14:textFill>
            <w14:solidFill>
              <w14:schemeClr w14:val="tx1"/>
            </w14:solidFill>
          </w14:textFill>
        </w:rPr>
        <w:t>Trong 05 ngày nghỉ lễ Quốc khánh 02/9/2026, tình hình an ninh, trật tự trên địa bàn xã được giữ vững, ổn định; không phát sinh vụ việc phức tạp, điểm nóng về an ninh, trật tự; không xảy ra tai nạn giao thông và các tình huống đột xuất, bất ngờ. Các lực lượng chức năng thực hiện tốt nhiệm vụ bảo vệ an ninh, trật tự, góp phần để Nhân dân vui lễ trong không khí an toàn, lành mạnh.</w:t>
      </w:r>
    </w:p>
    <w:p w14:paraId="3F52103B">
      <w:pPr>
        <w:pStyle w:val="22"/>
        <w:spacing w:beforeAutospacing="0" w:afterAutospacing="0" w:line="0" w:lineRule="atLeast"/>
        <w:ind w:firstLine="720"/>
        <w:jc w:val="both"/>
        <w:rPr>
          <w:color w:val="000000" w:themeColor="text1"/>
          <w:spacing w:val="-6"/>
          <w:sz w:val="28"/>
          <w:szCs w:val="28"/>
          <w14:textFill>
            <w14:solidFill>
              <w14:schemeClr w14:val="tx1"/>
            </w14:solidFill>
          </w14:textFill>
        </w:rPr>
      </w:pPr>
      <w:r>
        <w:rPr>
          <w:b/>
          <w:bCs/>
          <w:color w:val="000000" w:themeColor="text1"/>
          <w:spacing w:val="-6"/>
          <w:sz w:val="28"/>
          <w:szCs w:val="28"/>
          <w14:textFill>
            <w14:solidFill>
              <w14:schemeClr w14:val="tx1"/>
            </w14:solidFill>
          </w14:textFill>
        </w:rPr>
        <w:t>III. ĐÁNH GIÁ CHUNG VÀ NHIỆM VỤ TIẾP TỤC THỰC HIỆN</w:t>
      </w:r>
    </w:p>
    <w:p w14:paraId="4A45859E">
      <w:pPr>
        <w:pStyle w:val="22"/>
        <w:spacing w:beforeAutospacing="0" w:afterAutospacing="0" w:line="0" w:lineRule="atLeast"/>
        <w:ind w:firstLine="720"/>
        <w:jc w:val="both"/>
        <w:rPr>
          <w:color w:val="000000" w:themeColor="text1"/>
          <w:spacing w:val="-6"/>
          <w:sz w:val="28"/>
          <w:szCs w:val="28"/>
          <w14:textFill>
            <w14:solidFill>
              <w14:schemeClr w14:val="tx1"/>
            </w14:solidFill>
          </w14:textFill>
        </w:rPr>
      </w:pPr>
      <w:r>
        <w:rPr>
          <w:color w:val="000000" w:themeColor="text1"/>
          <w:spacing w:val="-6"/>
          <w:sz w:val="28"/>
          <w:szCs w:val="28"/>
          <w14:textFill>
            <w14:solidFill>
              <w14:schemeClr w14:val="tx1"/>
            </w14:solidFill>
          </w14:textFill>
        </w:rPr>
        <w:t>Trong thời gian từ ngày 29/8/2026 đến hết ngày 02/9/2026, các cấp ủy, chính quyền, cơ quan, đơn vị và lực lượng chức năng trên địa bàn xã đã thực hiện nghiêm sự lãnh đạo, chỉ đạo của Tỉnh ủy và Đảng ủy xã; chủ động triển khai các nhiệm vụ bảo đảm an ninh, trật tự, an toàn xã hội và phục vụ Nhân dân. Tình hình an ninh chính trị, trật tự, an toàn xã hội được giữ vững; các hoạt động văn hóa, du lịch diễn ra an toàn; đời sống Nhân dân ổn định; không phát sinh vụ việc phức tạp, đột xuất, bất ngờ.</w:t>
      </w:r>
    </w:p>
    <w:p w14:paraId="6823E499">
      <w:pPr>
        <w:pStyle w:val="22"/>
        <w:spacing w:beforeAutospacing="0" w:afterAutospacing="0" w:line="0" w:lineRule="atLeast"/>
        <w:ind w:firstLine="720"/>
        <w:jc w:val="both"/>
        <w:rPr>
          <w:color w:val="000000" w:themeColor="text1"/>
          <w:spacing w:val="-6"/>
          <w:sz w:val="28"/>
          <w:szCs w:val="28"/>
          <w14:textFill>
            <w14:solidFill>
              <w14:schemeClr w14:val="tx1"/>
            </w14:solidFill>
          </w14:textFill>
        </w:rPr>
      </w:pPr>
      <w:r>
        <w:rPr>
          <w:color w:val="000000" w:themeColor="text1"/>
          <w:spacing w:val="-6"/>
          <w:sz w:val="28"/>
          <w:szCs w:val="28"/>
          <w14:textFill>
            <w14:solidFill>
              <w14:schemeClr w14:val="tx1"/>
            </w14:solidFill>
          </w14:textFill>
        </w:rPr>
        <w:t>Công tác chuẩn bị khai giảng năm học mới 2026–2027 được triển khai chủ động, đồng bộ; cơ sở vật chất, đội ngũ giáo viên và các điều kiện phục vụ dạy và học cơ bản đáp ứng yêu cầu. Một số khó khăn về trang thiết bị tại các điểm trường sau sắp xếp đang được UBND xã tổng hợp, bố trí phương án khắc phục.</w:t>
      </w:r>
    </w:p>
    <w:p w14:paraId="4405B87E">
      <w:pPr>
        <w:pStyle w:val="22"/>
        <w:spacing w:beforeAutospacing="0" w:afterAutospacing="0" w:line="0" w:lineRule="atLeast"/>
        <w:ind w:firstLine="720"/>
        <w:jc w:val="both"/>
        <w:rPr>
          <w:color w:val="000000" w:themeColor="text1"/>
          <w:spacing w:val="-6"/>
          <w:sz w:val="28"/>
          <w:szCs w:val="28"/>
          <w14:textFill>
            <w14:solidFill>
              <w14:schemeClr w14:val="tx1"/>
            </w14:solidFill>
          </w14:textFill>
        </w:rPr>
      </w:pPr>
      <w:r>
        <w:rPr>
          <w:color w:val="000000" w:themeColor="text1"/>
          <w:spacing w:val="-6"/>
          <w:sz w:val="28"/>
          <w:szCs w:val="28"/>
          <w14:textFill>
            <w14:solidFill>
              <w14:schemeClr w14:val="tx1"/>
            </w14:solidFill>
          </w14:textFill>
        </w:rPr>
        <w:t>Thời gian tới, Đảng ủy xã tiếp tục chỉ đạo UBND xã, các cơ quan, đơn vị, các trường học và lực lượng chức năng tập trung hoàn thiện các điều kiện còn thiếu; tổ chức tốt lễ khai giảng năm học mới 2026–2027; tăng cường bảo đảm an ninh, trật tự, an toàn giao thông, phòng cháy, chữa cháy, an toàn thực phẩm và an toàn trường học; kịp thời xử lý các vấn đề phát sinh ngay từ cơ sở, bảo đảm năm học mới được triển khai an toàn, ổn định, đúng kế hoạch.</w:t>
      </w:r>
    </w:p>
    <w:p w14:paraId="2A839DBB">
      <w:pPr>
        <w:pStyle w:val="22"/>
        <w:spacing w:beforeAutospacing="0" w:afterAutospacing="0" w:line="0" w:lineRule="atLeast"/>
        <w:ind w:firstLine="720"/>
        <w:jc w:val="both"/>
        <w:rPr>
          <w:color w:val="000000" w:themeColor="text1"/>
          <w:spacing w:val="-6"/>
          <w:sz w:val="28"/>
          <w:szCs w:val="28"/>
          <w14:textFill>
            <w14:solidFill>
              <w14:schemeClr w14:val="tx1"/>
            </w14:solidFill>
          </w14:textFill>
        </w:rPr>
      </w:pPr>
      <w:r>
        <w:rPr>
          <w:color w:val="000000" w:themeColor="text1"/>
          <w:spacing w:val="-6"/>
          <w:sz w:val="28"/>
          <w:szCs w:val="28"/>
          <w14:textFill>
            <w14:solidFill>
              <w14:schemeClr w14:val="tx1"/>
            </w14:solidFill>
          </w14:textFill>
        </w:rPr>
        <w:t>Trên đây là Báo cáo tình hình nghỉ lễ Quốc khánh 02/9/2026 và công tác chuẩn bị khai giảng năm học mới 2026</w:t>
      </w:r>
      <w:r>
        <w:rPr>
          <w:rFonts w:hint="default"/>
          <w:color w:val="000000" w:themeColor="text1"/>
          <w:spacing w:val="-6"/>
          <w:sz w:val="28"/>
          <w:szCs w:val="28"/>
          <w:lang w:val="en-US"/>
          <w14:textFill>
            <w14:solidFill>
              <w14:schemeClr w14:val="tx1"/>
            </w14:solidFill>
          </w14:textFill>
        </w:rPr>
        <w:t xml:space="preserve"> - </w:t>
      </w:r>
      <w:r>
        <w:rPr>
          <w:color w:val="000000" w:themeColor="text1"/>
          <w:spacing w:val="-6"/>
          <w:sz w:val="28"/>
          <w:szCs w:val="28"/>
          <w14:textFill>
            <w14:solidFill>
              <w14:schemeClr w14:val="tx1"/>
            </w14:solidFill>
          </w14:textFill>
        </w:rPr>
        <w:t>2027, từ ngày 29/8/2026 đến hết ngày 02/9/2026 của Đảng ủy xã Lùng Phình./.</w:t>
      </w:r>
    </w:p>
    <w:p w14:paraId="132F460C">
      <w:pPr>
        <w:pStyle w:val="22"/>
        <w:spacing w:beforeAutospacing="0" w:afterAutospacing="0" w:line="0" w:lineRule="atLeast"/>
        <w:ind w:firstLine="720"/>
        <w:jc w:val="both"/>
        <w:rPr>
          <w:color w:val="000000" w:themeColor="text1"/>
          <w:sz w:val="28"/>
          <w:szCs w:val="28"/>
          <w14:textFill>
            <w14:solidFill>
              <w14:schemeClr w14:val="tx1"/>
            </w14:solidFill>
          </w14:textFill>
        </w:rPr>
      </w:pPr>
    </w:p>
    <w:tbl>
      <w:tblPr>
        <w:tblStyle w:val="12"/>
        <w:tblW w:w="9501" w:type="dxa"/>
        <w:tblInd w:w="0" w:type="dxa"/>
        <w:tblLayout w:type="fixed"/>
        <w:tblCellMar>
          <w:top w:w="0" w:type="dxa"/>
          <w:left w:w="108" w:type="dxa"/>
          <w:bottom w:w="0" w:type="dxa"/>
          <w:right w:w="108" w:type="dxa"/>
        </w:tblCellMar>
      </w:tblPr>
      <w:tblGrid>
        <w:gridCol w:w="4536"/>
        <w:gridCol w:w="4965"/>
      </w:tblGrid>
      <w:tr w14:paraId="2CB57ADF">
        <w:tblPrEx>
          <w:tblCellMar>
            <w:top w:w="0" w:type="dxa"/>
            <w:left w:w="108" w:type="dxa"/>
            <w:bottom w:w="0" w:type="dxa"/>
            <w:right w:w="108" w:type="dxa"/>
          </w:tblCellMar>
        </w:tblPrEx>
        <w:tc>
          <w:tcPr>
            <w:tcW w:w="4536" w:type="dxa"/>
          </w:tcPr>
          <w:p w14:paraId="179EF63B">
            <w:pPr>
              <w:widowControl w:val="0"/>
              <w:kinsoku w:val="0"/>
              <w:overflowPunct w:val="0"/>
              <w:autoSpaceDE w:val="0"/>
              <w:autoSpaceDN w:val="0"/>
              <w:rPr>
                <w:color w:val="000000" w:themeColor="text1"/>
                <w:sz w:val="28"/>
                <w:szCs w:val="28"/>
                <w14:textFill>
                  <w14:solidFill>
                    <w14:schemeClr w14:val="tx1"/>
                  </w14:solidFill>
                </w14:textFill>
              </w:rPr>
            </w:pPr>
            <w:r>
              <w:rPr>
                <w:color w:val="000000" w:themeColor="text1"/>
                <w:sz w:val="28"/>
                <w:szCs w:val="28"/>
                <w:u w:val="single"/>
                <w14:textFill>
                  <w14:solidFill>
                    <w14:schemeClr w14:val="tx1"/>
                  </w14:solidFill>
                </w14:textFill>
              </w:rPr>
              <w:t>Nơi nhận</w:t>
            </w:r>
            <w:r>
              <w:rPr>
                <w:color w:val="000000" w:themeColor="text1"/>
                <w:sz w:val="28"/>
                <w:szCs w:val="28"/>
                <w14:textFill>
                  <w14:solidFill>
                    <w14:schemeClr w14:val="tx1"/>
                  </w14:solidFill>
                </w14:textFill>
              </w:rPr>
              <w:t>:</w:t>
            </w:r>
          </w:p>
          <w:p w14:paraId="339FBBAF">
            <w:pPr>
              <w:rPr>
                <w:bCs/>
                <w:color w:val="000000" w:themeColor="text1"/>
                <w:sz w:val="24"/>
                <w:lang w:val="de-AT"/>
                <w14:textFill>
                  <w14:solidFill>
                    <w14:schemeClr w14:val="tx1"/>
                  </w14:solidFill>
                </w14:textFill>
              </w:rPr>
            </w:pPr>
            <w:r>
              <w:rPr>
                <w:bCs/>
                <w:color w:val="000000" w:themeColor="text1"/>
                <w:sz w:val="20"/>
                <w:szCs w:val="28"/>
                <w:lang w:val="de-AT"/>
                <w14:textFill>
                  <w14:solidFill>
                    <w14:schemeClr w14:val="tx1"/>
                  </w14:solidFill>
                </w14:textFill>
              </w:rPr>
              <w:t xml:space="preserve">- </w:t>
            </w:r>
            <w:r>
              <w:rPr>
                <w:bCs/>
                <w:color w:val="000000" w:themeColor="text1"/>
                <w:sz w:val="24"/>
                <w:lang w:val="de-AT"/>
                <w14:textFill>
                  <w14:solidFill>
                    <w14:schemeClr w14:val="tx1"/>
                  </w14:solidFill>
                </w14:textFill>
              </w:rPr>
              <w:t>Văn phòng Tỉnh ủy (b/c);</w:t>
            </w:r>
          </w:p>
          <w:p w14:paraId="11F00976">
            <w:pPr>
              <w:rPr>
                <w:bCs/>
                <w:color w:val="000000" w:themeColor="text1"/>
                <w:sz w:val="24"/>
                <w:lang w:val="de-AT"/>
                <w14:textFill>
                  <w14:solidFill>
                    <w14:schemeClr w14:val="tx1"/>
                  </w14:solidFill>
                </w14:textFill>
              </w:rPr>
            </w:pPr>
            <w:r>
              <w:rPr>
                <w:bCs/>
                <w:color w:val="000000" w:themeColor="text1"/>
                <w:sz w:val="24"/>
                <w:lang w:val="de-AT"/>
                <w14:textFill>
                  <w14:solidFill>
                    <w14:schemeClr w14:val="tx1"/>
                  </w14:solidFill>
                </w14:textFill>
              </w:rPr>
              <w:t>- Thường trực Đảng ủy, HĐND, UBND xã;</w:t>
            </w:r>
          </w:p>
          <w:p w14:paraId="40A7A206">
            <w:pPr>
              <w:rPr>
                <w:bCs/>
                <w:color w:val="000000" w:themeColor="text1"/>
                <w:spacing w:val="-8"/>
                <w:sz w:val="24"/>
                <w:lang w:val="de-AT"/>
                <w14:textFill>
                  <w14:solidFill>
                    <w14:schemeClr w14:val="tx1"/>
                  </w14:solidFill>
                </w14:textFill>
              </w:rPr>
            </w:pPr>
            <w:r>
              <w:rPr>
                <w:bCs/>
                <w:color w:val="000000" w:themeColor="text1"/>
                <w:spacing w:val="-8"/>
                <w:sz w:val="24"/>
                <w:lang w:val="de-AT"/>
                <w14:textFill>
                  <w14:solidFill>
                    <w14:schemeClr w14:val="tx1"/>
                  </w14:solidFill>
                </w14:textFill>
              </w:rPr>
              <w:t>- Các cơ quan tham mưu, giúp việc Đảng ủy xã;</w:t>
            </w:r>
          </w:p>
          <w:p w14:paraId="7F5A26FC">
            <w:pPr>
              <w:rPr>
                <w:kern w:val="2"/>
                <w:szCs w:val="30"/>
                <w14:ligatures w14:val="standardContextual"/>
              </w:rPr>
            </w:pPr>
            <w:r>
              <w:rPr>
                <w:color w:val="000000"/>
                <w:sz w:val="24"/>
                <w:lang w:val="de-AT"/>
              </w:rPr>
              <w:t>- Ủy ban MTTQ Việt Nam và các tổ chức chính trị - xã hội xã;</w:t>
            </w:r>
          </w:p>
          <w:p w14:paraId="312754CC">
            <w:pPr>
              <w:rPr>
                <w:b/>
                <w:color w:val="000000" w:themeColor="text1"/>
                <w:sz w:val="28"/>
                <w:szCs w:val="28"/>
                <w14:textFill>
                  <w14:solidFill>
                    <w14:schemeClr w14:val="tx1"/>
                  </w14:solidFill>
                </w14:textFill>
              </w:rPr>
            </w:pPr>
            <w:r>
              <w:rPr>
                <w:bCs/>
                <w:color w:val="000000" w:themeColor="text1"/>
                <w:sz w:val="24"/>
                <w:lang w:val="de-AT"/>
                <w14:textFill>
                  <w14:solidFill>
                    <w14:schemeClr w14:val="tx1"/>
                  </w14:solidFill>
                </w14:textFill>
              </w:rPr>
              <w:t>- Lưu: Văn phòng Đảng ủy.</w:t>
            </w:r>
          </w:p>
        </w:tc>
        <w:tc>
          <w:tcPr>
            <w:tcW w:w="4965" w:type="dxa"/>
          </w:tcPr>
          <w:p w14:paraId="4CECE9BB">
            <w:pPr>
              <w:widowControl w:val="0"/>
              <w:kinsoku w:val="0"/>
              <w:overflowPunct w:val="0"/>
              <w:autoSpaceDE w:val="0"/>
              <w:autoSpaceDN w:val="0"/>
              <w:jc w:val="center"/>
              <w:rPr>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t>T/L BAN THƯỜNG VỤ</w:t>
            </w:r>
          </w:p>
          <w:p w14:paraId="37CF79AF">
            <w:pPr>
              <w:widowControl w:val="0"/>
              <w:kinsoku w:val="0"/>
              <w:overflowPunct w:val="0"/>
              <w:autoSpaceDE w:val="0"/>
              <w:autoSpaceDN w:val="0"/>
              <w:jc w:val="center"/>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CHÁNH VĂN PHÒNG</w:t>
            </w:r>
          </w:p>
          <w:p w14:paraId="2D7C04BE">
            <w:pPr>
              <w:widowControl w:val="0"/>
              <w:kinsoku w:val="0"/>
              <w:overflowPunct w:val="0"/>
              <w:autoSpaceDE w:val="0"/>
              <w:autoSpaceDN w:val="0"/>
              <w:jc w:val="center"/>
              <w:rPr>
                <w:b/>
                <w:color w:val="000000" w:themeColor="text1"/>
                <w:sz w:val="28"/>
                <w:szCs w:val="28"/>
                <w14:textFill>
                  <w14:solidFill>
                    <w14:schemeClr w14:val="tx1"/>
                  </w14:solidFill>
                </w14:textFill>
              </w:rPr>
            </w:pPr>
          </w:p>
          <w:p w14:paraId="09CEC285">
            <w:pPr>
              <w:widowControl w:val="0"/>
              <w:kinsoku w:val="0"/>
              <w:overflowPunct w:val="0"/>
              <w:autoSpaceDE w:val="0"/>
              <w:autoSpaceDN w:val="0"/>
              <w:jc w:val="center"/>
              <w:rPr>
                <w:b/>
                <w:color w:val="000000" w:themeColor="text1"/>
                <w:sz w:val="28"/>
                <w:szCs w:val="28"/>
                <w14:textFill>
                  <w14:solidFill>
                    <w14:schemeClr w14:val="tx1"/>
                  </w14:solidFill>
                </w14:textFill>
              </w:rPr>
            </w:pPr>
          </w:p>
          <w:p w14:paraId="5C092575">
            <w:pPr>
              <w:widowControl w:val="0"/>
              <w:kinsoku w:val="0"/>
              <w:overflowPunct w:val="0"/>
              <w:autoSpaceDE w:val="0"/>
              <w:autoSpaceDN w:val="0"/>
              <w:jc w:val="center"/>
              <w:rPr>
                <w:b/>
                <w:color w:val="000000" w:themeColor="text1"/>
                <w:sz w:val="28"/>
                <w:szCs w:val="28"/>
                <w14:textFill>
                  <w14:solidFill>
                    <w14:schemeClr w14:val="tx1"/>
                  </w14:solidFill>
                </w14:textFill>
              </w:rPr>
            </w:pPr>
          </w:p>
          <w:p w14:paraId="65EEDBBC">
            <w:pPr>
              <w:widowControl w:val="0"/>
              <w:kinsoku w:val="0"/>
              <w:overflowPunct w:val="0"/>
              <w:autoSpaceDE w:val="0"/>
              <w:autoSpaceDN w:val="0"/>
              <w:jc w:val="center"/>
              <w:rPr>
                <w:b/>
                <w:color w:val="000000" w:themeColor="text1"/>
                <w:sz w:val="28"/>
                <w:szCs w:val="28"/>
                <w14:textFill>
                  <w14:solidFill>
                    <w14:schemeClr w14:val="tx1"/>
                  </w14:solidFill>
                </w14:textFill>
              </w:rPr>
            </w:pPr>
          </w:p>
          <w:p w14:paraId="17709A29">
            <w:pPr>
              <w:widowControl w:val="0"/>
              <w:kinsoku w:val="0"/>
              <w:overflowPunct w:val="0"/>
              <w:autoSpaceDE w:val="0"/>
              <w:autoSpaceDN w:val="0"/>
              <w:jc w:val="center"/>
              <w:rPr>
                <w:b/>
                <w:color w:val="000000" w:themeColor="text1"/>
                <w:sz w:val="28"/>
                <w:szCs w:val="28"/>
                <w14:textFill>
                  <w14:solidFill>
                    <w14:schemeClr w14:val="tx1"/>
                  </w14:solidFill>
                </w14:textFill>
              </w:rPr>
            </w:pPr>
          </w:p>
          <w:p w14:paraId="55D6C8B9">
            <w:pPr>
              <w:widowControl w:val="0"/>
              <w:kinsoku w:val="0"/>
              <w:overflowPunct w:val="0"/>
              <w:autoSpaceDE w:val="0"/>
              <w:autoSpaceDN w:val="0"/>
              <w:jc w:val="center"/>
              <w:rPr>
                <w:b/>
                <w:color w:val="000000" w:themeColor="text1"/>
                <w:sz w:val="28"/>
                <w:szCs w:val="28"/>
                <w14:textFill>
                  <w14:solidFill>
                    <w14:schemeClr w14:val="tx1"/>
                  </w14:solidFill>
                </w14:textFill>
              </w:rPr>
            </w:pPr>
            <w:bookmarkStart w:id="0" w:name="_GoBack"/>
            <w:bookmarkEnd w:id="0"/>
          </w:p>
          <w:p w14:paraId="2BDF3308">
            <w:pPr>
              <w:widowControl w:val="0"/>
              <w:kinsoku w:val="0"/>
              <w:overflowPunct w:val="0"/>
              <w:autoSpaceDE w:val="0"/>
              <w:autoSpaceDN w:val="0"/>
              <w:jc w:val="center"/>
              <w:rPr>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t>Đoàn Duy Toàn</w:t>
            </w:r>
          </w:p>
        </w:tc>
      </w:tr>
      <w:tr w14:paraId="049B5304">
        <w:tblPrEx>
          <w:tblCellMar>
            <w:top w:w="0" w:type="dxa"/>
            <w:left w:w="108" w:type="dxa"/>
            <w:bottom w:w="0" w:type="dxa"/>
            <w:right w:w="108" w:type="dxa"/>
          </w:tblCellMar>
        </w:tblPrEx>
        <w:tc>
          <w:tcPr>
            <w:tcW w:w="4536" w:type="dxa"/>
          </w:tcPr>
          <w:p w14:paraId="493782FF">
            <w:pPr>
              <w:rPr>
                <w:color w:val="000000" w:themeColor="text1"/>
                <w:sz w:val="24"/>
                <w14:textFill>
                  <w14:solidFill>
                    <w14:schemeClr w14:val="tx1"/>
                  </w14:solidFill>
                </w14:textFill>
              </w:rPr>
            </w:pPr>
          </w:p>
        </w:tc>
        <w:tc>
          <w:tcPr>
            <w:tcW w:w="4965" w:type="dxa"/>
          </w:tcPr>
          <w:p w14:paraId="71A93D23">
            <w:pPr>
              <w:widowControl w:val="0"/>
              <w:kinsoku w:val="0"/>
              <w:overflowPunct w:val="0"/>
              <w:autoSpaceDE w:val="0"/>
              <w:autoSpaceDN w:val="0"/>
              <w:rPr>
                <w:b/>
                <w:color w:val="000000" w:themeColor="text1"/>
                <w:sz w:val="28"/>
                <w:szCs w:val="28"/>
                <w14:textFill>
                  <w14:solidFill>
                    <w14:schemeClr w14:val="tx1"/>
                  </w14:solidFill>
                </w14:textFill>
              </w:rPr>
            </w:pPr>
          </w:p>
        </w:tc>
      </w:tr>
    </w:tbl>
    <w:p w14:paraId="55CC7820">
      <w:pPr>
        <w:spacing w:line="0" w:lineRule="atLeast"/>
        <w:jc w:val="both"/>
        <w:rPr>
          <w:color w:val="000000" w:themeColor="text1"/>
          <w:sz w:val="28"/>
          <w:szCs w:val="28"/>
          <w:lang w:val="nl-NL"/>
          <w14:textFill>
            <w14:solidFill>
              <w14:schemeClr w14:val="tx1"/>
            </w14:solidFill>
          </w14:textFill>
        </w:rPr>
      </w:pPr>
    </w:p>
    <w:sectPr>
      <w:headerReference r:id="rId5" w:type="first"/>
      <w:footerReference r:id="rId8" w:type="first"/>
      <w:headerReference r:id="rId3" w:type="default"/>
      <w:footerReference r:id="rId6" w:type="default"/>
      <w:headerReference r:id="rId4" w:type="even"/>
      <w:footerReference r:id="rId7" w:type="even"/>
      <w:pgSz w:w="11906" w:h="16838"/>
      <w:pgMar w:top="1134" w:right="851" w:bottom="1134" w:left="1701" w:header="567" w:footer="0" w:gutter="0"/>
      <w:cols w:space="720" w:num="1"/>
      <w:formProt w:val="0"/>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等线">
    <w:altName w:val="Microsoft YaHei"/>
    <w:panose1 w:val="00000000000000000000"/>
    <w:charset w:val="86"/>
    <w:family w:val="auto"/>
    <w:pitch w:val="default"/>
    <w:sig w:usb0="00000000" w:usb1="00000000" w:usb2="00000000" w:usb3="00000000" w:csb0="00000000" w:csb1="00000000"/>
  </w:font>
  <w:font w:name=".VnTime">
    <w:panose1 w:val="020B7200000000000000"/>
    <w:charset w:val="00"/>
    <w:family w:val="swiss"/>
    <w:pitch w:val="default"/>
    <w:sig w:usb0="00000000" w:usb1="00000000" w:usb2="00000000" w:usb3="00000000" w:csb0="00000000" w:csb1="00000000"/>
  </w:font>
  <w:font w:name="Calibri Light">
    <w:panose1 w:val="020F0302020204030204"/>
    <w:charset w:val="00"/>
    <w:family w:val="swiss"/>
    <w:pitch w:val="default"/>
    <w:sig w:usb0="E4002EFF" w:usb1="C000247B" w:usb2="00000009" w:usb3="00000000" w:csb0="200001FF" w:csb1="00000000"/>
  </w:font>
  <w:font w:name="黑体">
    <w:altName w:val="SimSun"/>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Noto Sans Devanagari">
    <w:altName w:val="Times New Roman"/>
    <w:panose1 w:val="00000000000000000000"/>
    <w:charset w:val="00"/>
    <w:family w:val="swiss"/>
    <w:pitch w:val="default"/>
    <w:sig w:usb0="00000000" w:usb1="00000000" w:usb2="00000000" w:usb3="00000000" w:csb0="00000001" w:csb1="00000000"/>
  </w:font>
  <w:font w:name="OpenSymbol">
    <w:altName w:val="Segoe Print"/>
    <w:panose1 w:val="00000000000000000000"/>
    <w:charset w:val="01"/>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rlito">
    <w:altName w:val="Calibri"/>
    <w:panose1 w:val="00000000000000000000"/>
    <w:charset w:val="01"/>
    <w:family w:val="roman"/>
    <w:pitch w:val="default"/>
    <w:sig w:usb0="00000000" w:usb1="00000000" w:usb2="00000000" w:usb3="00000000" w:csb0="00000000" w:csb1="00000000"/>
  </w:font>
  <w:font w:name="Noto Sans SC Regular">
    <w:altName w:val="Segoe Print"/>
    <w:panose1 w:val="00000000000000000000"/>
    <w:charset w:val="00"/>
    <w:family w:val="roman"/>
    <w:pitch w:val="default"/>
    <w:sig w:usb0="00000000" w:usb1="00000000" w:usb2="00000000" w:usb3="00000000" w:csb0="00000000" w:csb1="00000000"/>
  </w:font>
  <w:font w:name="Segoe UI">
    <w:panose1 w:val="020B0502040204020203"/>
    <w:charset w:val="00"/>
    <w:family w:val="swiss"/>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0559D2">
    <w:pPr>
      <w:pStyle w:val="1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A0DCE9">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81093C">
    <w:pPr>
      <w:pStyle w:val="1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C80DEB">
    <w:pPr>
      <w:pStyle w:val="20"/>
      <w:jc w:val="center"/>
      <w:rPr>
        <w:sz w:val="20"/>
        <w:szCs w:val="20"/>
      </w:rPr>
    </w:pPr>
    <w:r>
      <w:rPr>
        <w:sz w:val="20"/>
        <w:szCs w:val="20"/>
      </w:rPr>
      <w:fldChar w:fldCharType="begin"/>
    </w:r>
    <w:r>
      <w:rPr>
        <w:sz w:val="20"/>
        <w:szCs w:val="20"/>
      </w:rPr>
      <w:instrText xml:space="preserve"> PAGE </w:instrText>
    </w:r>
    <w:r>
      <w:rPr>
        <w:sz w:val="20"/>
        <w:szCs w:val="20"/>
      </w:rPr>
      <w:fldChar w:fldCharType="separate"/>
    </w:r>
    <w:r>
      <w:rPr>
        <w:sz w:val="20"/>
        <w:szCs w:val="20"/>
      </w:rPr>
      <w:t>0</w:t>
    </w:r>
    <w:r>
      <w:rPr>
        <w:sz w:val="20"/>
        <w:szCs w:val="20"/>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8055C">
    <w:pPr>
      <w:pStyle w:val="2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9FE39A">
    <w:pPr>
      <w:pStyle w:val="2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autoHyphenation/>
  <w:noPunctuationKerning w:val="1"/>
  <w:characterSpacingControl w:val="doNotCompress"/>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322"/>
    <w:rsid w:val="000118A4"/>
    <w:rsid w:val="00024ADF"/>
    <w:rsid w:val="000769AE"/>
    <w:rsid w:val="000E6DC1"/>
    <w:rsid w:val="001351FD"/>
    <w:rsid w:val="00142877"/>
    <w:rsid w:val="00174E57"/>
    <w:rsid w:val="00216328"/>
    <w:rsid w:val="0025119D"/>
    <w:rsid w:val="002C1ECD"/>
    <w:rsid w:val="005056A0"/>
    <w:rsid w:val="00535A1A"/>
    <w:rsid w:val="00582322"/>
    <w:rsid w:val="00586F90"/>
    <w:rsid w:val="0059169F"/>
    <w:rsid w:val="006C0F7F"/>
    <w:rsid w:val="00747F4F"/>
    <w:rsid w:val="007751F3"/>
    <w:rsid w:val="007929C4"/>
    <w:rsid w:val="007942AD"/>
    <w:rsid w:val="007C60CD"/>
    <w:rsid w:val="008B0E26"/>
    <w:rsid w:val="00960D5B"/>
    <w:rsid w:val="009B6419"/>
    <w:rsid w:val="009D5DBD"/>
    <w:rsid w:val="00A54DB0"/>
    <w:rsid w:val="00A73437"/>
    <w:rsid w:val="00A760A6"/>
    <w:rsid w:val="00AF418F"/>
    <w:rsid w:val="00B20930"/>
    <w:rsid w:val="00BC4624"/>
    <w:rsid w:val="00C41A1B"/>
    <w:rsid w:val="00CC2879"/>
    <w:rsid w:val="00D50BDA"/>
    <w:rsid w:val="00E54791"/>
    <w:rsid w:val="00E61057"/>
    <w:rsid w:val="00F227FA"/>
    <w:rsid w:val="07760FE0"/>
    <w:rsid w:val="0C6B560D"/>
    <w:rsid w:val="216060D1"/>
    <w:rsid w:val="343935C7"/>
    <w:rsid w:val="378B3806"/>
    <w:rsid w:val="531C0893"/>
    <w:rsid w:val="56322A98"/>
    <w:rsid w:val="599D6D92"/>
    <w:rsid w:val="602A3154"/>
    <w:rsid w:val="655D7E9D"/>
    <w:rsid w:val="65CC10F0"/>
    <w:rsid w:val="666A1995"/>
  </w:rsids>
  <m:mathPr>
    <m:mathFont m:val="Cambria Math"/>
    <m:brkBin m:val="before"/>
    <m:brkBinSub m:val="--"/>
    <m:smallFrac m:val="0"/>
    <m:dispDef/>
    <m:lMargin m:val="0"/>
    <m:rMargin m:val="0"/>
    <m:defJc m:val="centerGroup"/>
    <m:wrapIndent m:val="1440"/>
    <m:intLim m:val="subSup"/>
    <m:naryLim m:val="undOvr"/>
  </m:mathPr>
  <w:themeFontLang w:val="vi-VN" w:eastAsia="zh-CN" w:bidi="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99"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99"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qFormat="1" w:uiPriority="99"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iPriority="99" w:name="Quote"/>
    <w:lsdException w:qFormat="1" w:uiPriority="99"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qFormat="1" w:unhideWhenUsed="0" w:uiPriority="60" w:semiHidden="0" w:name="Light Shading Accent 2"/>
    <w:lsdException w:qFormat="1"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qFormat="1" w:unhideWhenUsed="0" w:uiPriority="60" w:semiHidden="0" w:name="Light Shading Accent 3"/>
    <w:lsdException w:qFormat="1"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qFormat="1" w:unhideWhenUsed="0" w:uiPriority="60" w:semiHidden="0" w:name="Light Shading Accent 4"/>
    <w:lsdException w:qFormat="1"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qFormat="1" w:unhideWhenUsed="0" w:uiPriority="60" w:semiHidden="0" w:name="Light Shading Accent 5"/>
    <w:lsdException w:qFormat="1"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qFormat="1" w:unhideWhenUsed="0" w:uiPriority="60" w:semiHidden="0" w:name="Light Shading Accent 6"/>
    <w:lsdException w:qFormat="1"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uppressAutoHyphens/>
    </w:pPr>
    <w:rPr>
      <w:rFonts w:ascii="Times New Roman" w:hAnsi="Times New Roman" w:eastAsia="Times New Roman" w:cs="Times New Roman"/>
      <w:sz w:val="30"/>
      <w:szCs w:val="24"/>
      <w:lang w:val="en-US" w:eastAsia="en-US" w:bidi="ar-SA"/>
    </w:rPr>
  </w:style>
  <w:style w:type="paragraph" w:styleId="2">
    <w:name w:val="heading 1"/>
    <w:basedOn w:val="1"/>
    <w:next w:val="1"/>
    <w:qFormat/>
    <w:uiPriority w:val="0"/>
    <w:pPr>
      <w:keepNext/>
      <w:outlineLvl w:val="0"/>
    </w:pPr>
    <w:rPr>
      <w:rFonts w:ascii=".VnTime" w:hAnsi=".VnTime"/>
      <w:sz w:val="28"/>
    </w:rPr>
  </w:style>
  <w:style w:type="paragraph" w:styleId="3">
    <w:name w:val="heading 2"/>
    <w:basedOn w:val="1"/>
    <w:next w:val="1"/>
    <w:link w:val="69"/>
    <w:qFormat/>
    <w:uiPriority w:val="9"/>
    <w:pPr>
      <w:keepNext/>
      <w:spacing w:before="60" w:line="288" w:lineRule="auto"/>
      <w:jc w:val="center"/>
      <w:outlineLvl w:val="1"/>
    </w:pPr>
    <w:rPr>
      <w:b/>
      <w:szCs w:val="20"/>
    </w:rPr>
  </w:style>
  <w:style w:type="paragraph" w:styleId="4">
    <w:name w:val="heading 3"/>
    <w:basedOn w:val="1"/>
    <w:next w:val="1"/>
    <w:link w:val="35"/>
    <w:semiHidden/>
    <w:unhideWhenUsed/>
    <w:qFormat/>
    <w:uiPriority w:val="0"/>
    <w:pPr>
      <w:keepNext/>
      <w:keepLines/>
      <w:spacing w:before="40"/>
      <w:outlineLvl w:val="2"/>
    </w:pPr>
    <w:rPr>
      <w:rFonts w:asciiTheme="majorHAnsi" w:hAnsiTheme="majorHAnsi" w:eastAsiaTheme="majorEastAsia" w:cstheme="majorBidi"/>
      <w:color w:val="203864" w:themeColor="accent1" w:themeShade="80"/>
      <w:sz w:val="24"/>
    </w:rPr>
  </w:style>
  <w:style w:type="paragraph" w:styleId="5">
    <w:name w:val="heading 4"/>
    <w:basedOn w:val="1"/>
    <w:next w:val="1"/>
    <w:link w:val="51"/>
    <w:semiHidden/>
    <w:unhideWhenUsed/>
    <w:qFormat/>
    <w:uiPriority w:val="0"/>
    <w:pPr>
      <w:keepNext/>
      <w:keepLines/>
      <w:spacing w:before="40"/>
      <w:outlineLvl w:val="3"/>
    </w:pPr>
    <w:rPr>
      <w:rFonts w:asciiTheme="majorHAnsi" w:hAnsiTheme="majorHAnsi" w:eastAsiaTheme="majorEastAsia" w:cstheme="majorBidi"/>
      <w:i/>
      <w:iCs/>
      <w:color w:val="2F5597" w:themeColor="accent1" w:themeShade="BF"/>
    </w:rPr>
  </w:style>
  <w:style w:type="paragraph" w:styleId="6">
    <w:name w:val="heading 5"/>
    <w:basedOn w:val="1"/>
    <w:next w:val="1"/>
    <w:link w:val="52"/>
    <w:semiHidden/>
    <w:unhideWhenUsed/>
    <w:qFormat/>
    <w:uiPriority w:val="0"/>
    <w:pPr>
      <w:keepNext/>
      <w:keepLines/>
      <w:spacing w:before="40"/>
      <w:outlineLvl w:val="4"/>
    </w:pPr>
    <w:rPr>
      <w:rFonts w:asciiTheme="majorHAnsi" w:hAnsiTheme="majorHAnsi" w:eastAsiaTheme="majorEastAsia" w:cstheme="majorBidi"/>
      <w:color w:val="2F5597" w:themeColor="accent1" w:themeShade="BF"/>
    </w:rPr>
  </w:style>
  <w:style w:type="paragraph" w:styleId="7">
    <w:name w:val="heading 6"/>
    <w:basedOn w:val="1"/>
    <w:next w:val="1"/>
    <w:link w:val="53"/>
    <w:semiHidden/>
    <w:unhideWhenUsed/>
    <w:qFormat/>
    <w:uiPriority w:val="0"/>
    <w:pPr>
      <w:keepNext/>
      <w:keepLines/>
      <w:spacing w:before="40"/>
      <w:outlineLvl w:val="5"/>
    </w:pPr>
    <w:rPr>
      <w:rFonts w:asciiTheme="majorHAnsi" w:hAnsiTheme="majorHAnsi" w:eastAsiaTheme="majorEastAsia" w:cstheme="majorBidi"/>
      <w:color w:val="203864" w:themeColor="accent1" w:themeShade="80"/>
    </w:rPr>
  </w:style>
  <w:style w:type="paragraph" w:styleId="8">
    <w:name w:val="heading 7"/>
    <w:basedOn w:val="1"/>
    <w:next w:val="1"/>
    <w:link w:val="54"/>
    <w:semiHidden/>
    <w:unhideWhenUsed/>
    <w:qFormat/>
    <w:uiPriority w:val="0"/>
    <w:pPr>
      <w:keepNext/>
      <w:keepLines/>
      <w:spacing w:before="40"/>
      <w:outlineLvl w:val="6"/>
    </w:pPr>
    <w:rPr>
      <w:rFonts w:asciiTheme="majorHAnsi" w:hAnsiTheme="majorHAnsi" w:eastAsiaTheme="majorEastAsia" w:cstheme="majorBidi"/>
      <w:i/>
      <w:iCs/>
      <w:color w:val="203864" w:themeColor="accent1" w:themeShade="80"/>
    </w:rPr>
  </w:style>
  <w:style w:type="paragraph" w:styleId="9">
    <w:name w:val="heading 8"/>
    <w:basedOn w:val="1"/>
    <w:next w:val="1"/>
    <w:link w:val="55"/>
    <w:semiHidden/>
    <w:unhideWhenUsed/>
    <w:qFormat/>
    <w:uiPriority w:val="0"/>
    <w:pPr>
      <w:keepNext/>
      <w:keepLines/>
      <w:spacing w:before="40"/>
      <w:outlineLvl w:val="7"/>
    </w:pPr>
    <w:rPr>
      <w:rFonts w:asciiTheme="majorHAnsi" w:hAnsiTheme="majorHAnsi" w:eastAsiaTheme="majorEastAsia" w:cstheme="majorBidi"/>
      <w:color w:val="262626" w:themeColor="text1" w:themeTint="D9"/>
      <w:sz w:val="21"/>
      <w:szCs w:val="21"/>
      <w14:textFill>
        <w14:solidFill>
          <w14:schemeClr w14:val="tx1">
            <w14:lumMod w14:val="85000"/>
            <w14:lumOff w14:val="15000"/>
          </w14:schemeClr>
        </w14:solidFill>
      </w14:textFill>
    </w:rPr>
  </w:style>
  <w:style w:type="paragraph" w:styleId="10">
    <w:name w:val="heading 9"/>
    <w:basedOn w:val="1"/>
    <w:next w:val="1"/>
    <w:link w:val="56"/>
    <w:semiHidden/>
    <w:unhideWhenUsed/>
    <w:qFormat/>
    <w:uiPriority w:val="0"/>
    <w:pPr>
      <w:keepNext/>
      <w:keepLines/>
      <w:spacing w:before="40"/>
      <w:outlineLvl w:val="8"/>
    </w:pPr>
    <w:rPr>
      <w:rFonts w:asciiTheme="majorHAnsi" w:hAnsiTheme="majorHAnsi" w:eastAsiaTheme="majorEastAsia" w:cstheme="majorBidi"/>
      <w:i/>
      <w:iCs/>
      <w:color w:val="262626" w:themeColor="text1" w:themeTint="D9"/>
      <w:sz w:val="21"/>
      <w:szCs w:val="21"/>
      <w14:textFill>
        <w14:solidFill>
          <w14:schemeClr w14:val="tx1">
            <w14:lumMod w14:val="85000"/>
            <w14:lumOff w14:val="15000"/>
          </w14:schemeClr>
        </w14:solidFill>
      </w14:textFill>
    </w:rPr>
  </w:style>
  <w:style w:type="character" w:default="1" w:styleId="11">
    <w:name w:val="Default Paragraph Font"/>
    <w:unhideWhenUsed/>
    <w:qFormat/>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13">
    <w:name w:val="Balloon Text"/>
    <w:basedOn w:val="1"/>
    <w:semiHidden/>
    <w:qFormat/>
    <w:uiPriority w:val="0"/>
    <w:rPr>
      <w:rFonts w:ascii="Tahoma" w:hAnsi="Tahoma" w:cs="Tahoma"/>
      <w:sz w:val="16"/>
      <w:szCs w:val="16"/>
    </w:rPr>
  </w:style>
  <w:style w:type="paragraph" w:styleId="14">
    <w:name w:val="Body Text"/>
    <w:basedOn w:val="1"/>
    <w:qFormat/>
    <w:uiPriority w:val="0"/>
    <w:pPr>
      <w:jc w:val="both"/>
    </w:pPr>
    <w:rPr>
      <w:rFonts w:ascii=".VnTime" w:hAnsi=".VnTime"/>
      <w:sz w:val="28"/>
    </w:rPr>
  </w:style>
  <w:style w:type="paragraph" w:styleId="15">
    <w:name w:val="caption"/>
    <w:basedOn w:val="1"/>
    <w:qFormat/>
    <w:uiPriority w:val="0"/>
    <w:pPr>
      <w:suppressLineNumbers/>
      <w:spacing w:before="120" w:after="120"/>
    </w:pPr>
    <w:rPr>
      <w:rFonts w:cs="Noto Sans Devanagari"/>
      <w:i/>
      <w:iCs/>
      <w:sz w:val="24"/>
    </w:rPr>
  </w:style>
  <w:style w:type="character" w:styleId="16">
    <w:name w:val="Emphasis"/>
    <w:basedOn w:val="11"/>
    <w:qFormat/>
    <w:uiPriority w:val="0"/>
    <w:rPr>
      <w:i/>
      <w:iCs/>
    </w:rPr>
  </w:style>
  <w:style w:type="paragraph" w:styleId="17">
    <w:name w:val="footer"/>
    <w:basedOn w:val="1"/>
    <w:qFormat/>
    <w:uiPriority w:val="0"/>
    <w:pPr>
      <w:tabs>
        <w:tab w:val="center" w:pos="4320"/>
        <w:tab w:val="right" w:pos="8640"/>
      </w:tabs>
    </w:pPr>
  </w:style>
  <w:style w:type="character" w:styleId="18">
    <w:name w:val="footnote reference"/>
    <w:qFormat/>
    <w:uiPriority w:val="99"/>
    <w:rPr>
      <w:vertAlign w:val="superscript"/>
    </w:rPr>
  </w:style>
  <w:style w:type="paragraph" w:styleId="19">
    <w:name w:val="footnote text"/>
    <w:basedOn w:val="1"/>
    <w:link w:val="33"/>
    <w:qFormat/>
    <w:uiPriority w:val="99"/>
    <w:rPr>
      <w:sz w:val="20"/>
      <w:szCs w:val="20"/>
    </w:rPr>
  </w:style>
  <w:style w:type="paragraph" w:styleId="20">
    <w:name w:val="header"/>
    <w:basedOn w:val="1"/>
    <w:link w:val="31"/>
    <w:qFormat/>
    <w:uiPriority w:val="99"/>
    <w:pPr>
      <w:tabs>
        <w:tab w:val="center" w:pos="4320"/>
        <w:tab w:val="right" w:pos="8640"/>
      </w:tabs>
    </w:pPr>
  </w:style>
  <w:style w:type="paragraph" w:styleId="21">
    <w:name w:val="List"/>
    <w:basedOn w:val="14"/>
    <w:qFormat/>
    <w:uiPriority w:val="0"/>
    <w:rPr>
      <w:rFonts w:cs="Noto Sans Devanagari"/>
    </w:rPr>
  </w:style>
  <w:style w:type="paragraph" w:styleId="22">
    <w:name w:val="Normal (Web)"/>
    <w:basedOn w:val="1"/>
    <w:unhideWhenUsed/>
    <w:qFormat/>
    <w:uiPriority w:val="99"/>
    <w:pPr>
      <w:suppressAutoHyphens w:val="0"/>
      <w:spacing w:beforeAutospacing="1" w:afterAutospacing="1"/>
    </w:pPr>
    <w:rPr>
      <w:sz w:val="24"/>
    </w:rPr>
  </w:style>
  <w:style w:type="character" w:styleId="23">
    <w:name w:val="page number"/>
    <w:basedOn w:val="11"/>
    <w:qFormat/>
    <w:uiPriority w:val="0"/>
  </w:style>
  <w:style w:type="character" w:styleId="24">
    <w:name w:val="Strong"/>
    <w:basedOn w:val="11"/>
    <w:qFormat/>
    <w:uiPriority w:val="22"/>
    <w:rPr>
      <w:b/>
      <w:bCs/>
    </w:rPr>
  </w:style>
  <w:style w:type="paragraph" w:styleId="25">
    <w:name w:val="Subtitle"/>
    <w:basedOn w:val="1"/>
    <w:next w:val="1"/>
    <w:link w:val="64"/>
    <w:qFormat/>
    <w:uiPriority w:val="0"/>
    <w:pPr>
      <w:spacing w:after="160"/>
    </w:pPr>
    <w:rPr>
      <w:rFonts w:asciiTheme="minorHAnsi" w:hAnsiTheme="minorHAnsi" w:eastAsiaTheme="minorEastAsia" w:cstheme="minorBidi"/>
      <w:color w:val="595959" w:themeColor="text1" w:themeTint="A6"/>
      <w:spacing w:val="15"/>
      <w:sz w:val="22"/>
      <w:szCs w:val="22"/>
      <w14:textFill>
        <w14:solidFill>
          <w14:schemeClr w14:val="tx1">
            <w14:lumMod w14:val="65000"/>
            <w14:lumOff w14:val="35000"/>
          </w14:schemeClr>
        </w14:solidFill>
      </w14:textFill>
    </w:rPr>
  </w:style>
  <w:style w:type="table" w:styleId="26">
    <w:name w:val="Table Grid"/>
    <w:basedOn w:val="1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27">
    <w:name w:val="Title"/>
    <w:basedOn w:val="1"/>
    <w:next w:val="1"/>
    <w:link w:val="67"/>
    <w:qFormat/>
    <w:uiPriority w:val="0"/>
    <w:pPr>
      <w:contextualSpacing/>
    </w:pPr>
    <w:rPr>
      <w:rFonts w:asciiTheme="majorHAnsi" w:hAnsiTheme="majorHAnsi" w:eastAsiaTheme="majorEastAsia" w:cstheme="majorBidi"/>
      <w:spacing w:val="-10"/>
      <w:kern w:val="28"/>
      <w:sz w:val="56"/>
      <w:szCs w:val="56"/>
    </w:rPr>
  </w:style>
  <w:style w:type="character" w:customStyle="1" w:styleId="28">
    <w:name w:val="Footnote Characters"/>
    <w:qFormat/>
    <w:uiPriority w:val="0"/>
    <w:rPr>
      <w:vertAlign w:val="superscript"/>
    </w:rPr>
  </w:style>
  <w:style w:type="character" w:customStyle="1" w:styleId="29">
    <w:name w:val="Body text_"/>
    <w:link w:val="30"/>
    <w:qFormat/>
    <w:uiPriority w:val="0"/>
    <w:rPr>
      <w:sz w:val="26"/>
      <w:szCs w:val="26"/>
      <w:shd w:val="clear" w:color="auto" w:fill="FFFFFF"/>
    </w:rPr>
  </w:style>
  <w:style w:type="paragraph" w:customStyle="1" w:styleId="30">
    <w:name w:val="Body Text1"/>
    <w:basedOn w:val="1"/>
    <w:link w:val="29"/>
    <w:qFormat/>
    <w:uiPriority w:val="0"/>
    <w:pPr>
      <w:widowControl w:val="0"/>
      <w:shd w:val="clear" w:color="auto" w:fill="FFFFFF"/>
      <w:spacing w:line="307" w:lineRule="exact"/>
      <w:jc w:val="both"/>
    </w:pPr>
    <w:rPr>
      <w:sz w:val="26"/>
      <w:szCs w:val="26"/>
    </w:rPr>
  </w:style>
  <w:style w:type="character" w:customStyle="1" w:styleId="31">
    <w:name w:val="Header Char"/>
    <w:link w:val="20"/>
    <w:qFormat/>
    <w:uiPriority w:val="99"/>
    <w:rPr>
      <w:sz w:val="30"/>
      <w:szCs w:val="24"/>
    </w:rPr>
  </w:style>
  <w:style w:type="character" w:customStyle="1" w:styleId="32">
    <w:name w:val="Bullets (user)"/>
    <w:qFormat/>
    <w:uiPriority w:val="0"/>
    <w:rPr>
      <w:rFonts w:ascii="OpenSymbol" w:hAnsi="OpenSymbol" w:eastAsia="OpenSymbol" w:cs="OpenSymbol"/>
    </w:rPr>
  </w:style>
  <w:style w:type="character" w:customStyle="1" w:styleId="33">
    <w:name w:val="Footnote Text Char"/>
    <w:basedOn w:val="11"/>
    <w:link w:val="19"/>
    <w:qFormat/>
    <w:uiPriority w:val="99"/>
    <w:rPr>
      <w:lang w:val="en-US" w:eastAsia="en-US"/>
    </w:rPr>
  </w:style>
  <w:style w:type="character" w:customStyle="1" w:styleId="34">
    <w:name w:val="Footnote Characters (user)"/>
    <w:basedOn w:val="11"/>
    <w:qFormat/>
    <w:uiPriority w:val="99"/>
    <w:rPr>
      <w:vertAlign w:val="superscript"/>
    </w:rPr>
  </w:style>
  <w:style w:type="character" w:customStyle="1" w:styleId="35">
    <w:name w:val="Heading 3 Char"/>
    <w:basedOn w:val="11"/>
    <w:link w:val="4"/>
    <w:semiHidden/>
    <w:qFormat/>
    <w:uiPriority w:val="0"/>
    <w:rPr>
      <w:rFonts w:asciiTheme="majorHAnsi" w:hAnsiTheme="majorHAnsi" w:eastAsiaTheme="majorEastAsia" w:cstheme="majorBidi"/>
      <w:color w:val="203864" w:themeColor="accent1" w:themeShade="80"/>
      <w:sz w:val="24"/>
      <w:szCs w:val="24"/>
      <w:lang w:val="en-US" w:eastAsia="en-US"/>
    </w:rPr>
  </w:style>
  <w:style w:type="character" w:customStyle="1" w:styleId="36">
    <w:name w:val="Numbering Symbols"/>
    <w:qFormat/>
    <w:uiPriority w:val="0"/>
  </w:style>
  <w:style w:type="paragraph" w:customStyle="1" w:styleId="37">
    <w:name w:val="Heading"/>
    <w:basedOn w:val="1"/>
    <w:next w:val="14"/>
    <w:qFormat/>
    <w:uiPriority w:val="0"/>
    <w:pPr>
      <w:keepNext/>
      <w:spacing w:before="240" w:after="120"/>
    </w:pPr>
    <w:rPr>
      <w:rFonts w:ascii="Carlito" w:hAnsi="Carlito" w:eastAsia="Noto Sans SC Regular" w:cs="Noto Sans Devanagari"/>
      <w:sz w:val="28"/>
      <w:szCs w:val="28"/>
    </w:rPr>
  </w:style>
  <w:style w:type="paragraph" w:customStyle="1" w:styleId="38">
    <w:name w:val="Index"/>
    <w:basedOn w:val="1"/>
    <w:qFormat/>
    <w:uiPriority w:val="0"/>
    <w:pPr>
      <w:suppressLineNumbers/>
    </w:pPr>
    <w:rPr>
      <w:rFonts w:cs="Noto Sans Devanagari"/>
    </w:rPr>
  </w:style>
  <w:style w:type="paragraph" w:customStyle="1" w:styleId="39">
    <w:name w:val="Header and Footer"/>
    <w:basedOn w:val="1"/>
    <w:qFormat/>
    <w:uiPriority w:val="0"/>
  </w:style>
  <w:style w:type="paragraph" w:customStyle="1" w:styleId="40">
    <w:name w:val="caption1"/>
    <w:basedOn w:val="1"/>
    <w:qFormat/>
    <w:uiPriority w:val="0"/>
    <w:pPr>
      <w:suppressLineNumbers/>
      <w:spacing w:before="120" w:after="120"/>
    </w:pPr>
    <w:rPr>
      <w:rFonts w:cs="Noto Sans Devanagari"/>
      <w:i/>
      <w:iCs/>
      <w:sz w:val="24"/>
    </w:rPr>
  </w:style>
  <w:style w:type="paragraph" w:customStyle="1" w:styleId="41">
    <w:name w:val="caption11"/>
    <w:basedOn w:val="1"/>
    <w:qFormat/>
    <w:uiPriority w:val="0"/>
    <w:pPr>
      <w:suppressLineNumbers/>
      <w:spacing w:before="120" w:after="120"/>
    </w:pPr>
    <w:rPr>
      <w:rFonts w:cs="Noto Sans Devanagari"/>
      <w:i/>
      <w:iCs/>
      <w:sz w:val="24"/>
    </w:rPr>
  </w:style>
  <w:style w:type="paragraph" w:styleId="42">
    <w:name w:val="List Paragraph"/>
    <w:basedOn w:val="1"/>
    <w:qFormat/>
    <w:uiPriority w:val="34"/>
    <w:pPr>
      <w:ind w:left="720"/>
      <w:contextualSpacing/>
    </w:pPr>
  </w:style>
  <w:style w:type="paragraph" w:customStyle="1" w:styleId="43">
    <w:name w:val="Revision1"/>
    <w:semiHidden/>
    <w:qFormat/>
    <w:uiPriority w:val="99"/>
    <w:pPr>
      <w:suppressAutoHyphens/>
    </w:pPr>
    <w:rPr>
      <w:rFonts w:ascii="Times New Roman" w:hAnsi="Times New Roman" w:eastAsia="Times New Roman" w:cs="Times New Roman"/>
      <w:sz w:val="30"/>
      <w:szCs w:val="24"/>
      <w:lang w:val="en-US" w:eastAsia="en-US" w:bidi="ar-SA"/>
    </w:rPr>
  </w:style>
  <w:style w:type="paragraph" w:customStyle="1" w:styleId="44">
    <w:name w:val="Frame Contents (user)"/>
    <w:basedOn w:val="1"/>
    <w:qFormat/>
    <w:uiPriority w:val="0"/>
  </w:style>
  <w:style w:type="paragraph" w:customStyle="1" w:styleId="45">
    <w:name w:val="Table Contents"/>
    <w:basedOn w:val="1"/>
    <w:qFormat/>
    <w:uiPriority w:val="0"/>
    <w:pPr>
      <w:widowControl w:val="0"/>
      <w:suppressLineNumbers/>
    </w:pPr>
  </w:style>
  <w:style w:type="paragraph" w:customStyle="1" w:styleId="46">
    <w:name w:val="Table Heading"/>
    <w:basedOn w:val="45"/>
    <w:qFormat/>
    <w:uiPriority w:val="0"/>
    <w:pPr>
      <w:jc w:val="center"/>
    </w:pPr>
    <w:rPr>
      <w:b/>
      <w:bCs/>
    </w:rPr>
  </w:style>
  <w:style w:type="paragraph" w:customStyle="1" w:styleId="47">
    <w:name w:val="_Style 19"/>
    <w:basedOn w:val="1"/>
    <w:semiHidden/>
    <w:qFormat/>
    <w:uiPriority w:val="0"/>
    <w:pPr>
      <w:spacing w:after="160" w:line="240" w:lineRule="exact"/>
    </w:pPr>
    <w:rPr>
      <w:rFonts w:ascii="Arial" w:hAnsi="Arial"/>
      <w:sz w:val="22"/>
      <w:szCs w:val="22"/>
    </w:rPr>
  </w:style>
  <w:style w:type="paragraph" w:customStyle="1" w:styleId="48">
    <w:name w:val="Frame Contents"/>
    <w:basedOn w:val="1"/>
    <w:qFormat/>
    <w:uiPriority w:val="0"/>
  </w:style>
  <w:style w:type="paragraph" w:customStyle="1" w:styleId="49">
    <w:name w:val="Header Left"/>
    <w:basedOn w:val="20"/>
    <w:qFormat/>
    <w:uiPriority w:val="0"/>
  </w:style>
  <w:style w:type="character" w:customStyle="1" w:styleId="50">
    <w:name w:val="Book Title"/>
    <w:basedOn w:val="11"/>
    <w:qFormat/>
    <w:uiPriority w:val="33"/>
    <w:rPr>
      <w:b/>
      <w:bCs/>
      <w:i/>
      <w:iCs/>
      <w:spacing w:val="5"/>
    </w:rPr>
  </w:style>
  <w:style w:type="character" w:customStyle="1" w:styleId="51">
    <w:name w:val="Heading 4 Char"/>
    <w:basedOn w:val="11"/>
    <w:link w:val="5"/>
    <w:semiHidden/>
    <w:qFormat/>
    <w:uiPriority w:val="0"/>
    <w:rPr>
      <w:rFonts w:asciiTheme="majorHAnsi" w:hAnsiTheme="majorHAnsi" w:eastAsiaTheme="majorEastAsia" w:cstheme="majorBidi"/>
      <w:i/>
      <w:iCs/>
      <w:color w:val="2F5597" w:themeColor="accent1" w:themeShade="BF"/>
      <w:sz w:val="30"/>
      <w:szCs w:val="24"/>
    </w:rPr>
  </w:style>
  <w:style w:type="character" w:customStyle="1" w:styleId="52">
    <w:name w:val="Heading 5 Char"/>
    <w:basedOn w:val="11"/>
    <w:link w:val="6"/>
    <w:semiHidden/>
    <w:qFormat/>
    <w:uiPriority w:val="0"/>
    <w:rPr>
      <w:rFonts w:asciiTheme="majorHAnsi" w:hAnsiTheme="majorHAnsi" w:eastAsiaTheme="majorEastAsia" w:cstheme="majorBidi"/>
      <w:color w:val="2F5597" w:themeColor="accent1" w:themeShade="BF"/>
      <w:sz w:val="30"/>
      <w:szCs w:val="24"/>
    </w:rPr>
  </w:style>
  <w:style w:type="character" w:customStyle="1" w:styleId="53">
    <w:name w:val="Heading 6 Char"/>
    <w:basedOn w:val="11"/>
    <w:link w:val="7"/>
    <w:semiHidden/>
    <w:qFormat/>
    <w:uiPriority w:val="0"/>
    <w:rPr>
      <w:rFonts w:asciiTheme="majorHAnsi" w:hAnsiTheme="majorHAnsi" w:eastAsiaTheme="majorEastAsia" w:cstheme="majorBidi"/>
      <w:color w:val="203864" w:themeColor="accent1" w:themeShade="80"/>
      <w:sz w:val="30"/>
      <w:szCs w:val="24"/>
    </w:rPr>
  </w:style>
  <w:style w:type="character" w:customStyle="1" w:styleId="54">
    <w:name w:val="Heading 7 Char"/>
    <w:basedOn w:val="11"/>
    <w:link w:val="8"/>
    <w:semiHidden/>
    <w:qFormat/>
    <w:uiPriority w:val="0"/>
    <w:rPr>
      <w:rFonts w:asciiTheme="majorHAnsi" w:hAnsiTheme="majorHAnsi" w:eastAsiaTheme="majorEastAsia" w:cstheme="majorBidi"/>
      <w:i/>
      <w:iCs/>
      <w:color w:val="203864" w:themeColor="accent1" w:themeShade="80"/>
      <w:sz w:val="30"/>
      <w:szCs w:val="24"/>
    </w:rPr>
  </w:style>
  <w:style w:type="character" w:customStyle="1" w:styleId="55">
    <w:name w:val="Heading 8 Char"/>
    <w:basedOn w:val="11"/>
    <w:link w:val="9"/>
    <w:semiHidden/>
    <w:qFormat/>
    <w:uiPriority w:val="0"/>
    <w:rPr>
      <w:rFonts w:asciiTheme="majorHAnsi" w:hAnsiTheme="majorHAnsi" w:eastAsiaTheme="majorEastAsia" w:cstheme="majorBidi"/>
      <w:color w:val="262626" w:themeColor="text1" w:themeTint="D9"/>
      <w:sz w:val="21"/>
      <w:szCs w:val="21"/>
      <w14:textFill>
        <w14:solidFill>
          <w14:schemeClr w14:val="tx1">
            <w14:lumMod w14:val="85000"/>
            <w14:lumOff w14:val="15000"/>
          </w14:schemeClr>
        </w14:solidFill>
      </w14:textFill>
    </w:rPr>
  </w:style>
  <w:style w:type="character" w:customStyle="1" w:styleId="56">
    <w:name w:val="Heading 9 Char"/>
    <w:basedOn w:val="11"/>
    <w:link w:val="10"/>
    <w:semiHidden/>
    <w:qFormat/>
    <w:uiPriority w:val="0"/>
    <w:rPr>
      <w:rFonts w:asciiTheme="majorHAnsi" w:hAnsiTheme="majorHAnsi" w:eastAsiaTheme="majorEastAsia" w:cstheme="majorBidi"/>
      <w:i/>
      <w:iCs/>
      <w:color w:val="262626" w:themeColor="text1" w:themeTint="D9"/>
      <w:sz w:val="21"/>
      <w:szCs w:val="21"/>
      <w14:textFill>
        <w14:solidFill>
          <w14:schemeClr w14:val="tx1">
            <w14:lumMod w14:val="85000"/>
            <w14:lumOff w14:val="15000"/>
          </w14:schemeClr>
        </w14:solidFill>
      </w14:textFill>
    </w:rPr>
  </w:style>
  <w:style w:type="character" w:customStyle="1" w:styleId="57">
    <w:name w:val="Intense Emphasis"/>
    <w:basedOn w:val="11"/>
    <w:qFormat/>
    <w:uiPriority w:val="21"/>
    <w:rPr>
      <w:i/>
      <w:iCs/>
      <w:color w:val="4472C4" w:themeColor="accent1"/>
      <w14:textFill>
        <w14:solidFill>
          <w14:schemeClr w14:val="accent1"/>
        </w14:solidFill>
      </w14:textFill>
    </w:rPr>
  </w:style>
  <w:style w:type="paragraph" w:styleId="58">
    <w:name w:val="Intense Quote"/>
    <w:basedOn w:val="1"/>
    <w:next w:val="1"/>
    <w:link w:val="59"/>
    <w:semiHidden/>
    <w:unhideWhenUsed/>
    <w:qFormat/>
    <w:uiPriority w:val="99"/>
    <w:pPr>
      <w:pBdr>
        <w:top w:val="single" w:color="4472C4" w:themeColor="accent1" w:sz="4" w:space="10"/>
        <w:bottom w:val="single" w:color="4472C4" w:themeColor="accent1" w:sz="4" w:space="10"/>
      </w:pBdr>
      <w:spacing w:before="360" w:after="360"/>
      <w:ind w:left="864" w:right="864"/>
      <w:jc w:val="center"/>
    </w:pPr>
    <w:rPr>
      <w:i/>
      <w:iCs/>
      <w:color w:val="4472C4" w:themeColor="accent1"/>
      <w14:textFill>
        <w14:solidFill>
          <w14:schemeClr w14:val="accent1"/>
        </w14:solidFill>
      </w14:textFill>
    </w:rPr>
  </w:style>
  <w:style w:type="character" w:customStyle="1" w:styleId="59">
    <w:name w:val="Intense Quote Char"/>
    <w:basedOn w:val="11"/>
    <w:link w:val="58"/>
    <w:semiHidden/>
    <w:qFormat/>
    <w:uiPriority w:val="99"/>
    <w:rPr>
      <w:rFonts w:eastAsia="Times New Roman"/>
      <w:i/>
      <w:iCs/>
      <w:color w:val="4472C4" w:themeColor="accent1"/>
      <w:sz w:val="30"/>
      <w:szCs w:val="24"/>
      <w14:textFill>
        <w14:solidFill>
          <w14:schemeClr w14:val="accent1"/>
        </w14:solidFill>
      </w14:textFill>
    </w:rPr>
  </w:style>
  <w:style w:type="character" w:customStyle="1" w:styleId="60">
    <w:name w:val="Intense Reference"/>
    <w:basedOn w:val="11"/>
    <w:qFormat/>
    <w:uiPriority w:val="32"/>
    <w:rPr>
      <w:b/>
      <w:bCs/>
      <w:smallCaps/>
      <w:color w:val="4472C4" w:themeColor="accent1"/>
      <w:spacing w:val="5"/>
      <w14:textFill>
        <w14:solidFill>
          <w14:schemeClr w14:val="accent1"/>
        </w14:solidFill>
      </w14:textFill>
    </w:rPr>
  </w:style>
  <w:style w:type="paragraph" w:styleId="61">
    <w:name w:val="No Spacing"/>
    <w:semiHidden/>
    <w:unhideWhenUsed/>
    <w:qFormat/>
    <w:uiPriority w:val="99"/>
    <w:pPr>
      <w:suppressAutoHyphens/>
    </w:pPr>
    <w:rPr>
      <w:rFonts w:ascii="Times New Roman" w:hAnsi="Times New Roman" w:eastAsia="Times New Roman" w:cs="Times New Roman"/>
      <w:sz w:val="30"/>
      <w:szCs w:val="24"/>
      <w:lang w:val="en-US" w:eastAsia="en-US" w:bidi="ar-SA"/>
    </w:rPr>
  </w:style>
  <w:style w:type="paragraph" w:styleId="62">
    <w:name w:val="Quote"/>
    <w:basedOn w:val="1"/>
    <w:next w:val="1"/>
    <w:link w:val="63"/>
    <w:semiHidden/>
    <w:unhideWhenUsed/>
    <w:qFormat/>
    <w:uiPriority w:val="99"/>
    <w:pPr>
      <w:spacing w:before="200" w:after="160"/>
      <w:ind w:left="864" w:right="864"/>
      <w:jc w:val="center"/>
    </w:pPr>
    <w:rPr>
      <w:i/>
      <w:iCs/>
      <w:color w:val="404040" w:themeColor="text1" w:themeTint="BF"/>
      <w14:textFill>
        <w14:solidFill>
          <w14:schemeClr w14:val="tx1">
            <w14:lumMod w14:val="75000"/>
            <w14:lumOff w14:val="25000"/>
          </w14:schemeClr>
        </w14:solidFill>
      </w14:textFill>
    </w:rPr>
  </w:style>
  <w:style w:type="character" w:customStyle="1" w:styleId="63">
    <w:name w:val="Quote Char"/>
    <w:basedOn w:val="11"/>
    <w:link w:val="62"/>
    <w:semiHidden/>
    <w:qFormat/>
    <w:uiPriority w:val="99"/>
    <w:rPr>
      <w:rFonts w:eastAsia="Times New Roman"/>
      <w:i/>
      <w:iCs/>
      <w:color w:val="404040" w:themeColor="text1" w:themeTint="BF"/>
      <w:sz w:val="30"/>
      <w:szCs w:val="24"/>
      <w14:textFill>
        <w14:solidFill>
          <w14:schemeClr w14:val="tx1">
            <w14:lumMod w14:val="75000"/>
            <w14:lumOff w14:val="25000"/>
          </w14:schemeClr>
        </w14:solidFill>
      </w14:textFill>
    </w:rPr>
  </w:style>
  <w:style w:type="character" w:customStyle="1" w:styleId="64">
    <w:name w:val="Subtitle Char"/>
    <w:basedOn w:val="11"/>
    <w:link w:val="25"/>
    <w:qFormat/>
    <w:uiPriority w:val="0"/>
    <w:rPr>
      <w:rFonts w:asciiTheme="minorHAnsi" w:hAnsiTheme="minorHAnsi" w:eastAsiaTheme="minorEastAsia" w:cstheme="minorBidi"/>
      <w:color w:val="595959" w:themeColor="text1" w:themeTint="A6"/>
      <w:spacing w:val="15"/>
      <w:sz w:val="22"/>
      <w:szCs w:val="22"/>
      <w14:textFill>
        <w14:solidFill>
          <w14:schemeClr w14:val="tx1">
            <w14:lumMod w14:val="65000"/>
            <w14:lumOff w14:val="35000"/>
          </w14:schemeClr>
        </w14:solidFill>
      </w14:textFill>
    </w:rPr>
  </w:style>
  <w:style w:type="character" w:customStyle="1" w:styleId="65">
    <w:name w:val="Subtle Emphasis"/>
    <w:basedOn w:val="11"/>
    <w:qFormat/>
    <w:uiPriority w:val="19"/>
    <w:rPr>
      <w:i/>
      <w:iCs/>
      <w:color w:val="404040" w:themeColor="text1" w:themeTint="BF"/>
      <w14:textFill>
        <w14:solidFill>
          <w14:schemeClr w14:val="tx1">
            <w14:lumMod w14:val="75000"/>
            <w14:lumOff w14:val="25000"/>
          </w14:schemeClr>
        </w14:solidFill>
      </w14:textFill>
    </w:rPr>
  </w:style>
  <w:style w:type="character" w:customStyle="1" w:styleId="66">
    <w:name w:val="Subtle Reference"/>
    <w:basedOn w:val="11"/>
    <w:qFormat/>
    <w:uiPriority w:val="31"/>
    <w:rPr>
      <w:smallCaps/>
      <w:color w:val="595959" w:themeColor="text1" w:themeTint="A6"/>
      <w14:textFill>
        <w14:solidFill>
          <w14:schemeClr w14:val="tx1">
            <w14:lumMod w14:val="65000"/>
            <w14:lumOff w14:val="35000"/>
          </w14:schemeClr>
        </w14:solidFill>
      </w14:textFill>
    </w:rPr>
  </w:style>
  <w:style w:type="character" w:customStyle="1" w:styleId="67">
    <w:name w:val="Title Char"/>
    <w:basedOn w:val="11"/>
    <w:link w:val="27"/>
    <w:qFormat/>
    <w:uiPriority w:val="0"/>
    <w:rPr>
      <w:rFonts w:asciiTheme="majorHAnsi" w:hAnsiTheme="majorHAnsi" w:eastAsiaTheme="majorEastAsia" w:cstheme="majorBidi"/>
      <w:spacing w:val="-10"/>
      <w:kern w:val="28"/>
      <w:sz w:val="56"/>
      <w:szCs w:val="56"/>
    </w:rPr>
  </w:style>
  <w:style w:type="paragraph" w:customStyle="1" w:styleId="68">
    <w:name w:val="TOC Heading"/>
    <w:basedOn w:val="2"/>
    <w:next w:val="1"/>
    <w:semiHidden/>
    <w:unhideWhenUsed/>
    <w:qFormat/>
    <w:uiPriority w:val="39"/>
    <w:pPr>
      <w:keepLines/>
      <w:spacing w:before="240"/>
      <w:outlineLvl w:val="9"/>
    </w:pPr>
    <w:rPr>
      <w:rFonts w:asciiTheme="majorHAnsi" w:hAnsiTheme="majorHAnsi" w:eastAsiaTheme="majorEastAsia" w:cstheme="majorBidi"/>
      <w:color w:val="2F5597" w:themeColor="accent1" w:themeShade="BF"/>
      <w:sz w:val="32"/>
      <w:szCs w:val="32"/>
    </w:rPr>
  </w:style>
  <w:style w:type="character" w:customStyle="1" w:styleId="69">
    <w:name w:val="Heading 2 Char"/>
    <w:basedOn w:val="11"/>
    <w:link w:val="3"/>
    <w:uiPriority w:val="9"/>
    <w:rPr>
      <w:rFonts w:eastAsia="Times New Roman"/>
      <w:b/>
      <w:sz w:val="3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6DECB6B-6F81-4B22-BCAE-914DC2D18887}">
  <ds:schemaRefs/>
</ds:datastoreItem>
</file>

<file path=docProps/app.xml><?xml version="1.0" encoding="utf-8"?>
<Properties xmlns="http://schemas.openxmlformats.org/officeDocument/2006/extended-properties" xmlns:vt="http://schemas.openxmlformats.org/officeDocument/2006/docPropsVTypes">
  <Template>Normal</Template>
  <Company>Microsoft, Inc</Company>
  <Pages>4</Pages>
  <Words>2469</Words>
  <Characters>8987</Characters>
  <Lines>200</Lines>
  <Paragraphs>91</Paragraphs>
  <TotalTime>11</TotalTime>
  <ScaleCrop>false</ScaleCrop>
  <LinksUpToDate>false</LinksUpToDate>
  <CharactersWithSpaces>11417</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2026-09-03T02:26:00Z</dcterms:created>
  <dc:creator>CNTT</dc:creator>
  <cp:lastModifiedBy>2026</cp:lastModifiedBy>
  <cp:lastPrinted>2025-12-22T10:23:00Z</cp:lastPrinted>
  <dcterms:modified xsi:type="dcterms:W3CDTF">2026-09-05T09:50:55Z</dcterms:modified>
  <dc:title>TỈNH UỶ YÊN BÁI</dc:title>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BC888E610CA54EF390C7F5475FBE598B_12</vt:lpwstr>
  </property>
  <property fmtid="{D5CDD505-2E9C-101B-9397-08002B2CF9AE}" pid="3" name="KSOProductBuildVer">
    <vt:lpwstr>1033-12.1.0.28485</vt:lpwstr>
  </property>
  <property fmtid="{D5CDD505-2E9C-101B-9397-08002B2CF9AE}" pid="4" name="KSOTemplateDocerSaveRecord">
    <vt:lpwstr>eyJoZGlkIjoiYzZkNzQ4ZWFiZmQ4NTRhOWRkZTk3YTMwMjlmMmZhYmUifQ==</vt:lpwstr>
  </property>
</Properties>
</file>