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9354" w:type="dxa"/>
        <w:jc w:val="center"/>
        <w:tblLayout w:type="fixed"/>
        <w:tblCellMar>
          <w:top w:w="0" w:type="dxa"/>
          <w:left w:w="108" w:type="dxa"/>
          <w:bottom w:w="0" w:type="dxa"/>
          <w:right w:w="108" w:type="dxa"/>
        </w:tblCellMar>
      </w:tblPr>
      <w:tblGrid>
        <w:gridCol w:w="4229"/>
        <w:gridCol w:w="5125"/>
      </w:tblGrid>
      <w:tr w14:paraId="10543977">
        <w:tblPrEx>
          <w:tblCellMar>
            <w:top w:w="0" w:type="dxa"/>
            <w:left w:w="108" w:type="dxa"/>
            <w:bottom w:w="0" w:type="dxa"/>
            <w:right w:w="108" w:type="dxa"/>
          </w:tblCellMar>
        </w:tblPrEx>
        <w:trPr>
          <w:trHeight w:val="1124" w:hRule="atLeast"/>
          <w:jc w:val="center"/>
        </w:trPr>
        <w:tc>
          <w:tcPr>
            <w:tcW w:w="4229" w:type="dxa"/>
          </w:tcPr>
          <w:p w14:paraId="1054396F">
            <w:pPr>
              <w:widowControl w:val="0"/>
              <w:kinsoku w:val="0"/>
              <w:overflowPunct w:val="0"/>
              <w:autoSpaceDE w:val="0"/>
              <w:autoSpaceDN w:val="0"/>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BỘ TỈNH LÀO CAI</w:t>
            </w:r>
          </w:p>
          <w:p w14:paraId="10543970">
            <w:pPr>
              <w:widowControl w:val="0"/>
              <w:kinsoku w:val="0"/>
              <w:overflowPunct w:val="0"/>
              <w:autoSpaceDE w:val="0"/>
              <w:autoSpaceDN w:val="0"/>
              <w:jc w:val="cente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ĐẢNG ỦY XÃ LÙNG PHÌNH</w:t>
            </w:r>
          </w:p>
          <w:p w14:paraId="10543971">
            <w:pPr>
              <w:widowControl w:val="0"/>
              <w:kinsoku w:val="0"/>
              <w:overflowPunct w:val="0"/>
              <w:autoSpaceDE w:val="0"/>
              <w:autoSpaceDN w:val="0"/>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w:t>
            </w:r>
          </w:p>
          <w:p w14:paraId="10543972">
            <w:pPr>
              <w:widowControl w:val="0"/>
              <w:kinsoku w:val="0"/>
              <w:overflowPunct w:val="0"/>
              <w:autoSpaceDE w:val="0"/>
              <w:autoSpaceDN w:val="0"/>
              <w:jc w:val="center"/>
              <w:rPr>
                <w:color w:val="000000" w:themeColor="text1"/>
                <w:sz w:val="28"/>
                <w:szCs w:val="28"/>
                <w:lang w:val="fr-FR"/>
                <w14:textFill>
                  <w14:solidFill>
                    <w14:schemeClr w14:val="tx1"/>
                  </w14:solidFill>
                </w14:textFill>
              </w:rPr>
            </w:pPr>
            <w:r>
              <w:rPr>
                <w:color w:val="000000" w:themeColor="text1"/>
                <w:sz w:val="28"/>
                <w:szCs w:val="28"/>
                <w:lang w:val="fr-FR"/>
                <w14:textFill>
                  <w14:solidFill>
                    <w14:schemeClr w14:val="tx1"/>
                  </w14:solidFill>
                </w14:textFill>
              </w:rPr>
              <w:t>Số</w:t>
            </w:r>
            <w:r>
              <w:rPr>
                <w:b/>
                <w:color w:val="000000" w:themeColor="text1"/>
                <w:sz w:val="28"/>
                <w:szCs w:val="28"/>
                <w:lang w:val="fr-FR"/>
                <w14:textFill>
                  <w14:solidFill>
                    <w14:schemeClr w14:val="tx1"/>
                  </w14:solidFill>
                </w14:textFill>
              </w:rPr>
              <w:t xml:space="preserve"> </w:t>
            </w:r>
            <w:r>
              <w:rPr>
                <w:b/>
                <w:color w:val="000000" w:themeColor="text1"/>
                <w:sz w:val="28"/>
                <w:szCs w:val="28"/>
                <w14:textFill>
                  <w14:solidFill>
                    <w14:schemeClr w14:val="tx1"/>
                  </w14:solidFill>
                </w14:textFill>
              </w:rPr>
              <w:t xml:space="preserve">     </w:t>
            </w:r>
            <w:r>
              <w:rPr>
                <w:b/>
                <w:color w:val="000000" w:themeColor="text1"/>
                <w:sz w:val="28"/>
                <w:szCs w:val="28"/>
                <w:lang w:val="vi-VN"/>
                <w14:textFill>
                  <w14:solidFill>
                    <w14:schemeClr w14:val="tx1"/>
                  </w14:solidFill>
                </w14:textFill>
              </w:rPr>
              <w:t xml:space="preserve"> </w:t>
            </w:r>
            <w:r>
              <w:rPr>
                <w:color w:val="000000" w:themeColor="text1"/>
                <w:sz w:val="28"/>
                <w:szCs w:val="28"/>
                <w:lang w:val="fr-FR"/>
                <w14:textFill>
                  <w14:solidFill>
                    <w14:schemeClr w14:val="tx1"/>
                  </w14:solidFill>
                </w14:textFill>
              </w:rPr>
              <w:t>-BC/ĐU</w:t>
            </w:r>
          </w:p>
          <w:p w14:paraId="10543973">
            <w:pPr>
              <w:widowControl w:val="0"/>
              <w:kinsoku w:val="0"/>
              <w:overflowPunct w:val="0"/>
              <w:autoSpaceDE w:val="0"/>
              <w:autoSpaceDN w:val="0"/>
              <w:jc w:val="cente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(Dự thảo)</w:t>
            </w:r>
          </w:p>
        </w:tc>
        <w:tc>
          <w:tcPr>
            <w:tcW w:w="5125" w:type="dxa"/>
          </w:tcPr>
          <w:p w14:paraId="10543974">
            <w:pPr>
              <w:widowControl w:val="0"/>
              <w:kinsoku w:val="0"/>
              <w:overflowPunct w:val="0"/>
              <w:autoSpaceDE w:val="0"/>
              <w:autoSpaceDN w:val="0"/>
              <w:ind w:right="-106"/>
              <w:jc w:val="center"/>
              <w:rPr>
                <w:b/>
                <w:bCs/>
                <w:color w:val="000000" w:themeColor="text1"/>
                <w:sz w:val="30"/>
                <w:szCs w:val="30"/>
                <w:lang w:val="fr-FR"/>
                <w14:textFill>
                  <w14:solidFill>
                    <w14:schemeClr w14:val="tx1"/>
                  </w14:solidFill>
                </w14:textFill>
              </w:rPr>
            </w:pPr>
            <w:r>
              <w:rPr>
                <w:b/>
                <w:bCs/>
                <w:color w:val="000000" w:themeColor="text1"/>
                <w:sz w:val="30"/>
                <w:szCs w:val="30"/>
                <w:lang w:val="fr-FR"/>
                <w14:textFill>
                  <w14:solidFill>
                    <w14:schemeClr w14:val="tx1"/>
                  </w14:solidFill>
                </w14:textFill>
              </w:rPr>
              <w:t>ĐẢNG CỘNG SẢN VIỆT NAM</w:t>
            </w:r>
          </w:p>
          <w:p w14:paraId="10543975">
            <w:pPr>
              <w:widowControl w:val="0"/>
              <w:kinsoku w:val="0"/>
              <w:overflowPunct w:val="0"/>
              <w:autoSpaceDE w:val="0"/>
              <w:autoSpaceDN w:val="0"/>
              <w:ind w:right="-106"/>
              <w:jc w:val="right"/>
              <w:rPr>
                <w:b/>
                <w:bCs/>
                <w:color w:val="000000" w:themeColor="text1"/>
                <w:sz w:val="28"/>
                <w:szCs w:val="28"/>
                <w:lang w:val="fr-FR"/>
                <w14:textFill>
                  <w14:solidFill>
                    <w14:schemeClr w14:val="tx1"/>
                  </w14:solidFill>
                </w14:textFill>
              </w:rPr>
            </w:pPr>
            <w:r>
              <w:rPr>
                <w:color w:val="000000" w:themeColor="text1"/>
                <w:sz w:val="28"/>
                <w:szCs w:val="28"/>
                <w14:textFill>
                  <w14:solidFill>
                    <w14:schemeClr w14:val="tx1"/>
                  </w14:solidFill>
                </w14:textFill>
              </w:rPr>
              <mc:AlternateContent>
                <mc:Choice Requires="wps">
                  <w:drawing>
                    <wp:anchor distT="5715" distB="5080" distL="5080" distR="5715" simplePos="0" relativeHeight="251661312" behindDoc="0" locked="0" layoutInCell="1" allowOverlap="1">
                      <wp:simplePos x="0" y="0"/>
                      <wp:positionH relativeFrom="column">
                        <wp:posOffset>306705</wp:posOffset>
                      </wp:positionH>
                      <wp:positionV relativeFrom="paragraph">
                        <wp:posOffset>27940</wp:posOffset>
                      </wp:positionV>
                      <wp:extent cx="2609850" cy="635"/>
                      <wp:effectExtent l="0" t="0" r="0" b="0"/>
                      <wp:wrapNone/>
                      <wp:docPr id="8" name="Straight Arrow Connector 8"/>
                      <wp:cNvGraphicFramePr/>
                      <a:graphic xmlns:a="http://schemas.openxmlformats.org/drawingml/2006/main">
                        <a:graphicData uri="http://schemas.microsoft.com/office/word/2010/wordprocessingShape">
                          <wps:wsp>
                            <wps:cNvCnPr/>
                            <wps:spPr>
                              <a:xfrm>
                                <a:off x="0" y="0"/>
                                <a:ext cx="2609850" cy="635"/>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24.15pt;margin-top:2.2pt;height:0.05pt;width:205.5pt;z-index:251661312;mso-width-relative:page;mso-height-relative:page;" filled="f" stroked="t" coordsize="21600,21600" o:gfxdata="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i7wQK1AAAAAYBAAAPAAAAAAAAAAEAIAAAACIAAABkcnMvZG93bnJldi54bWxQSwECFAAU&#10;AAAACACHTuJAjG5TBbwBAACRAwAADgAAAAAAAAABACAAAAAjAQAAZHJzL2Uyb0RvYy54bWxQSwUG&#10;AAAAAAYABgBZAQAAUQUAAAAA&#10;">
                      <v:fill on="f" focussize="0,0"/>
                      <v:stroke color="#000000" joinstyle="round"/>
                      <v:imagedata o:title=""/>
                      <o:lock v:ext="edit" aspectratio="f"/>
                    </v:shape>
                  </w:pict>
                </mc:Fallback>
              </mc:AlternateContent>
            </w:r>
          </w:p>
          <w:p w14:paraId="10543976">
            <w:pPr>
              <w:widowControl w:val="0"/>
              <w:kinsoku w:val="0"/>
              <w:overflowPunct w:val="0"/>
              <w:autoSpaceDE w:val="0"/>
              <w:autoSpaceDN w:val="0"/>
              <w:ind w:right="-106"/>
              <w:rPr>
                <w:color w:val="000000" w:themeColor="text1"/>
                <w:sz w:val="28"/>
                <w:szCs w:val="28"/>
                <w:lang w:val="fr-FR"/>
                <w14:textFill>
                  <w14:solidFill>
                    <w14:schemeClr w14:val="tx1"/>
                  </w14:solidFill>
                </w14:textFill>
              </w:rPr>
            </w:pPr>
            <w:r>
              <w:rPr>
                <w:i/>
                <w:iCs/>
                <w:color w:val="000000" w:themeColor="text1"/>
                <w:sz w:val="28"/>
                <w:szCs w:val="28"/>
                <w:lang w:val="fr-FR"/>
                <w14:textFill>
                  <w14:solidFill>
                    <w14:schemeClr w14:val="tx1"/>
                  </w14:solidFill>
                </w14:textFill>
              </w:rPr>
              <w:t xml:space="preserve">     Lùng Phình, ngày </w:t>
            </w:r>
            <w:r>
              <w:rPr>
                <w:i/>
                <w:iCs/>
                <w:color w:val="000000" w:themeColor="text1"/>
                <w:sz w:val="28"/>
                <w:szCs w:val="28"/>
                <w:lang w:val="vi-VN"/>
                <w14:textFill>
                  <w14:solidFill>
                    <w14:schemeClr w14:val="tx1"/>
                  </w14:solidFill>
                </w14:textFill>
              </w:rPr>
              <w:t xml:space="preserve">   </w:t>
            </w:r>
            <w:r>
              <w:rPr>
                <w:i/>
                <w:iCs/>
                <w:color w:val="000000" w:themeColor="text1"/>
                <w:sz w:val="28"/>
                <w:szCs w:val="28"/>
                <w:lang w:val="fr-FR"/>
                <w14:textFill>
                  <w14:solidFill>
                    <w14:schemeClr w14:val="tx1"/>
                  </w14:solidFill>
                </w14:textFill>
              </w:rPr>
              <w:t xml:space="preserve"> tháng </w:t>
            </w:r>
            <w:r>
              <w:rPr>
                <w:i/>
                <w:iCs/>
                <w:color w:val="000000" w:themeColor="text1"/>
                <w:sz w:val="28"/>
                <w:szCs w:val="28"/>
                <w14:textFill>
                  <w14:solidFill>
                    <w14:schemeClr w14:val="tx1"/>
                  </w14:solidFill>
                </w14:textFill>
              </w:rPr>
              <w:t>9</w:t>
            </w:r>
            <w:r>
              <w:rPr>
                <w:i/>
                <w:iCs/>
                <w:color w:val="000000" w:themeColor="text1"/>
                <w:sz w:val="28"/>
                <w:szCs w:val="28"/>
                <w:lang w:val="fr-FR"/>
                <w14:textFill>
                  <w14:solidFill>
                    <w14:schemeClr w14:val="tx1"/>
                  </w14:solidFill>
                </w14:textFill>
              </w:rPr>
              <w:t xml:space="preserve"> năm 2026</w:t>
            </w:r>
          </w:p>
        </w:tc>
      </w:tr>
    </w:tbl>
    <w:p w14:paraId="10543978">
      <w:pPr>
        <w:jc w:val="center"/>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BÁO CÁO</w:t>
      </w:r>
    </w:p>
    <w:p w14:paraId="10543979">
      <w:pPr>
        <w:jc w:val="center"/>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kết quả thực hiện nhiệm vụ công tác 9 tháng đầu năm, phương hướng, nhiệm vụ 3 tháng cuối năm 2026</w:t>
      </w:r>
    </w:p>
    <w:p w14:paraId="1054397A">
      <w:pPr>
        <w:jc w:val="center"/>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w:t>
      </w:r>
    </w:p>
    <w:p w14:paraId="1054397B">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I. Tình hình chung của Đảng bộ xã Lùng Phình</w:t>
      </w:r>
    </w:p>
    <w:p w14:paraId="1054397C">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1. Tình hình chung</w:t>
      </w:r>
    </w:p>
    <w:p w14:paraId="1054397D">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Trong 9 tháng đầu năm 2026, Ban Chấp hành, Ban Thường vụ Đảng ủy xã Lùng Phình tập trung lãnh đạo, chỉ đạo toàn diện các nhiệm vụ chính trị; trọng tâm là kiện toàn tổ chức bộ máy, vận hành ổn định hệ thống chính trị sau sắp xếp, sáp nhập các đơn vị trường học; các chi bộ thôn, chi bộ trường học. Công tác quán triệt, học tập và triển khai các chủ trương, nghị quyết, chỉ thị của Trung ương, của Tỉnh ủy, được thực hiện kịp thời, nghiêm túc; từng bước cụ thể hóa Nghị quyết Đại hội Đảng bộ xã nhiệm kỳ 2025–2030 thành các chương trình, đề án, kế hoạch phù hợp với điều kiện thực tế địa phương. Công tác xây dựng Đảng và hệ thống chính trị tiếp tục được củng cố; phát huy hiệu lực, hiệu quả quản lý, điều hành của UBND xã, vai trò giám sát của HĐND xã cùng hoạt động của Mặt trận Tổ quốc và các đoàn thể chính trị – xã hội từng bước đi vào nền nếp, phát huy sức mạnh khối đại đoàn kết toàn dân.</w:t>
      </w:r>
    </w:p>
    <w:p w14:paraId="1054397E">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Kinh tế - xã hội tiếp tục duy trì chuyển biến tích cực. Sản xuất nông - lâm nghiệp, chăn nuôi được chỉ đạo chặt chẽ theo khung thời vụ; đẩy mạnh chuyển đổi cơ cấu cây trồng có giá trị kinh tế (cây ăn quả ôn đới, cây dược liệu), bảo vệ và phát triển rừng gắn với chi trả dịch vụ môi trường rừng. Việc phân bổ, giải ngân các nguồn vốn đầu tư công, nhất là 3 Chương trình mục tiêu quốc gia (xây dựng nông thôn mới; giảm nghèo bền vững; phát triển kinh tế - xã hội vùng đồng bào dân tộc thiểu số và miền núi) được tích cực đôn đốc. Các lĩnh vực văn hóa – xã hội, giáo dục vùng cao, chăm sóc sức khỏe ban đầu cho Nhân dân, công tác giảm nghèo và an sinh xã hội được bảo đảm; giữ gìn, phát huy bản sắc văn hóa truyền thống gắn liền với khai thác du lịch cộng đồng, chợ phiên Lùng Phình. Quốc phòng, an ninh được củng cố, trật tự an toàn xã hội trên địa bàn ổn định; kỷ cương hành chính, công tác tiếp công dân, chuyển đổi số và Đề án 06 được duy trì nghiêm túc.</w:t>
      </w:r>
    </w:p>
    <w:p w14:paraId="1054397F">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Bên cạnh những kết quả đạt được, quá trình thực hiện nhiệm vụ còn gặp một số khó khăn, nhất là địa bàn rộng, địa hình miền núi, dân cư phân tán; nguồn lực đầu tư còn hạn chế; sản xuất nông nghiệp chịu tác động của thời tiết và thị trường; đời sống của một bộ phận Nhân dân còn khó khăn. Một số nhiệm vụ cần nguồn lực lớn, thời gian tổ chức thực hiện kéo dài nên tiến độ còn phụ thuộc vào điều kiện thực tế. Những yếu tố trên tác động nhất định đến tiến độ và kết quả thực hiện một số mục tiêu, nhiệm vụ năm 2026.</w:t>
      </w:r>
    </w:p>
    <w:p w14:paraId="10543980">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2. Thuận lợi</w:t>
      </w:r>
    </w:p>
    <w:p w14:paraId="10543981">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bộ, chính quyền và Nhân dân các dân tộc xã Lùng Phình tiếp tục nhận được sự quan tâm lãnh đạo, chỉ đạo của Tỉnh ủy, HĐND, UBND tỉnh và sự hướng dẫn của các sở, ban, ngành, cơ quan chuyên môn. Sau sắp xếp đơn vị hành chính, tổ chức bộ máy và hệ thống chính trị xã từng bước được kiện toàn, hoạt động ổn định; đội ngũ cán bộ, công chức cơ bản đáp ứng yêu cầu nhiệm vụ.</w:t>
      </w:r>
    </w:p>
    <w:p w14:paraId="10543982">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Các chủ trương, nghị quyết của Đảng, chính sách, pháp luật của Nhà nước và các chương trình, chính sách hỗ trợ vùng đồng bào dân tộc thiểu số và miền núi tiếp tục được triển khai, tạo điều kiện huy động nguồn lực đầu tư phát triển kết cấu hạ tầng, giảm nghèo, phát triển sản xuất và nâng cao đời sống Nhân dân.</w:t>
      </w:r>
    </w:p>
    <w:p w14:paraId="10543983">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Địa phương có tiềm năng phát triển nông, lâm nghiệp, dược liệu, cây ăn quả và du lịch gắn với cảnh quan, bản sắc văn hóa các dân tộc. Một số mô hình liên kết sản xuất, phát triển dược liệu và hoạt động bảo tồn văn hóa đang được quan tâm triển khai, tạo thêm hướng phát triển sinh kế cho người dân.</w:t>
      </w:r>
    </w:p>
    <w:p w14:paraId="10543984">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Khối đại đoàn kết các dân tộc tiếp tục được củng cố; Nhân dân cơ bản đồng thuận, tích cực tham gia thực hiện các chủ trương, chính sách của Đảng, Nhà nước và các nhiệm vụ phát triển kinh tế - xã hội của địa phương. Quốc phòng, an ninh, trật tự an toàn xã hội cơ bản ổn định, tạo điều kiện thực hiện các nhiệm vụ chính trị của địa phương.</w:t>
      </w:r>
    </w:p>
    <w:p w14:paraId="10543985">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3. Khó khăn</w:t>
      </w:r>
    </w:p>
    <w:p w14:paraId="10543986">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Xã Lùng Phình có địa bàn rộng, địa hình đồi núi, nhiều khu vực đi lại còn khó khăn, dân cư phân tán, ảnh hưởng đến công tác quản lý, chỉ đạo và tổ chức thực hiện nhiệm vụ ở cơ sở. Sau sắp xếp đơn vị hành chính, phạm vi quản lý rộng, khối lượng công việc lớn, yêu cầu tiếp tục kiện toàn tổ chức, phân công nhiệm vụ và nâng cao hiệu quả hoạt động của hệ thống chính trị.</w:t>
      </w:r>
    </w:p>
    <w:p w14:paraId="10543987">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Kinh tế của xã chủ yếu dựa vào nông, lâm nghiệp; quy mô sản xuất còn nhỏ, liên kết sản xuất và tiêu thụ sản phẩm chưa thật sự ổn định. Đời sống một bộ phận Nhân dân còn khó khăn, nguy cơ tái nghèo còn hiện hữu; nguồn lực đầu tư cho phát triển kết cấu hạ tầng và thực hiện các chương trình, dự án còn hạn chế.</w:t>
      </w:r>
    </w:p>
    <w:p w14:paraId="10543988">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Sản xuất nông nghiệp còn phụ thuộc vào thời tiết; nguy cơ thiên tai, dịch bệnh trên cây trồng, vật nuôi và biến động thị trường có thể ảnh hưởng đến thu nhập, đời sống Nhân dân. Chất lượng nguồn nhân lực chưa đồng đều; việc ứng dụng khoa học, công nghệ, chuyển đổi số và tiếp cận các dịch vụ công trực tuyến ở một số khu vực còn hạn chế.</w:t>
      </w:r>
    </w:p>
    <w:p w14:paraId="10543989">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Việc triển khai các chương trình mục tiêu quốc gia, các dự án đầu tư, giải ngân vốn và thực hiện một số chính sách trên địa bàn còn gặp khó khăn do địa hình, thủ tục, năng lực tổ chức thực hiện và khả năng huy động nguồn lực tại cơ sở. Công tác bảo tồn, phát huy giá trị văn hóa truyền thống gắn với phát triển du lịch cần tiếp tục được đầu tư, hoàn thiện để tạo sinh kế và nâng cao thu nhập cho người dân.</w:t>
      </w:r>
    </w:p>
    <w:p w14:paraId="1054398A">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II. Công tác lãnh đạo của Đảng bộ xã</w:t>
      </w:r>
    </w:p>
    <w:p w14:paraId="1054398B">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Trong 9 tháng đầu năm 2026, Đảng ủy, Ban Thường vụ Đảng ủy xã tập trung lãnh đạo, chỉ đạo toàn diện các nhiệm vụ chính trị, bám sát chủ trương, nghị quyết, chỉ thị, kết luận của Trung ương, của Tỉnh ủy và Nghị quyết Đại hội Đảng bộ xã Lùng Phình nhiệm kỳ 2025-2030; chủ động cụ thể hóa thành các chương trình, kế hoạch, nghị quyết và nhiệm vụ phù hợp với tình hình thực tiễn địa phương. Trọng tâm là lãnh đạo thực hiện nhiệm vụ xây dựng Đảng và hệ thống chính trị; phát triển kinh tế - xã hội, nâng cao đời sống Nhân dân; bảo đảm quốc phòng - an ninh, giữ vững an ninh chính trị, trật tự an toàn xã hội; tăng cường công tác nội chính, phòng, chống tham nhũng, lãng phí, tiêu cực và cải cách hành chính, tư pháp.</w:t>
      </w:r>
    </w:p>
    <w:p w14:paraId="1054398C">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ủy đã ban hành Nghị quyết số 10-NQ/ĐU ngày 13/01/2026 về nhiệm vụ chính trị trọng tâm năm 2026, xác định 33 mục tiêu chủ yếu và các nhiệm vụ, giải pháp trọng tâm cần tập trung lãnh đạo, chỉ đạo. Đồng thời, chỉ đạo các chi bộ trực thuộc, các cơ quan, đơn vị xây dựng kế hoạch tổ chức thực hiện các nghị quyết chiến lược của Trung ương, 17 đề án trọng tâm thực hiện Nghị quyết Đại hội Đảng bộ tỉnh lần thứ I, nhiệm kỳ 2025-2030, gắn với 05 đề án, 07 nghị quyết trọng tâm thực hiện Nghị quyết Đại hội Đảng bộ xã lần thứ I, nhiệm kỳ 2025-2030; tổ chức sơ kết, tổng kết các nghị quyết, chỉ thị, kết luận của Trung ương và Tỉnh ủy bảo đảm nội dung, tiến độ theo quy định.</w:t>
      </w:r>
    </w:p>
    <w:p w14:paraId="1054398D">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Phương thức lãnh đạo, chỉ đạo tiếp tục được đổi mới theo hướng “nhanh chóng, cụ thể, sát sao, quyết liệt, toàn diện”. Đảng ủy, Ban Thường vụ Đảng ủy thường xuyên rà soát, đánh giá tiến độ thực hiện các nhiệm vụ, xác định rõ những nội dung trọng tâm, vấn đề khó khăn, vướng mắc để tập trung chỉ đạo, đôn đốc, tháo gỡ ngay từ cơ sở; thực hiện theo tinh thần “6 rõ”: rõ đơn vị chủ trì, rõ thẩm quyền, rõ việc, rõ tiến độ - thời gian hoàn thành, rõ trách nhiệm và rõ sản phẩm. Qua đó, từng bước nâng cao tính chủ động, trách nhiệm của các cơ quan, đơn vị, cán bộ, đảng viên trong tổ chức thực hiện nhiệm vụ.</w:t>
      </w:r>
    </w:p>
    <w:p w14:paraId="1054398E">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ủy duy trì nghiêm Quy chế làm việc nhiệm kỳ 2025-2030, bảo đảm nguyên tắc tập trung dân chủ, chế độ tập thể lãnh đạo, cá nhân phụ trách; duy trì nền nếp hội nghị, giao ban, kiểm tra, đôn đốc và cho ý kiến đối với các nhiệm vụ thuộc thẩm quyền. Thường trực Đảng ủy duy trì giao ban với Thường trực HĐND, UBND xã định kỳ 01 lần/tuần, kịp thời nắm tình hình, thống nhất lãnh đạo, chỉ đạo giải quyết các nhiệm vụ phát sinh, nhất là những vấn đề liên quan trực tiếp đến sản xuất, đời sống Nhân dân, đầu tư xây dựng cơ bản, đất đai, an sinh xã hội, quốc phòng - an ninh và công tác xây dựng hệ thống chính trị.</w:t>
      </w:r>
    </w:p>
    <w:p w14:paraId="1054398F">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Trong lãnh đạo phát triển kinh tế - xã hội, Đảng ủy tập trung chỉ đạo sản xuất nông, lâm nghiệp, chăn nuôi, thủy sản; quản lý, bảo vệ và phát triển rừng; phòng, chống thiên tai; đẩy mạnh đầu tư xây dựng cơ bản, phát triển kết cấu hạ tầng, giải ngân vốn đầu tư công; tăng cường quản lý đất đai, tài nguyên, môi trường. Đồng thời, quan tâm lãnh đạo thực hiện các nhiệm vụ văn hóa - xã hội, giáo dục, y tế, lao động, việc làm, giảm nghèo, an sinh xã hội, cải cách hành chính và nâng cao chất lượng phục vụ Nhân dân.</w:t>
      </w:r>
    </w:p>
    <w:p w14:paraId="10543990">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Công tác xây dựng Đảng và hệ thống chính trị được quan tâm lãnh đạo đồng bộ trên các mặt chính trị, tư tưởng, tổ chức, cán bộ, đảng viên, kiểm tra, giám sát, tuyên giáo, dân vận và bảo vệ chính trị nội bộ. Đảng ủy chú trọng nâng cao năng lực lãnh đạo, sức chiến đấu của tổ chức cơ sở đảng, chất lượng đội ngũ cán bộ, đảng viên; tăng cường nắm tình hình tư tưởng, dư luận xã hội và tình hình Nhân dân; phát huy vai trò của MTTQ và các tổ chức chính trị - xã hội trong tuyên truyền, vận động, giám sát và tham gia xây dựng Đảng, xây dựng chính quyền.</w:t>
      </w:r>
    </w:p>
    <w:p w14:paraId="10543991">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Đảng ủy tập trung lãnh đạo, chỉ đạo thực hiện tốt nhiệm vụ quốc phòng - an ninh, duy trì nghiêm chế độ trực sẵn sàng chiến đấu, chủ động phòng, chống thiên tai, giữ vững an ninh chính trị, trật tự an toàn xã hội; tăng cường công tác phòng, chống ma túy, phòng cháy, chữa cháy, quản lý địa bàn và xây dựng phong trào Toàn dân bảo vệ an ninh Tổ quốc. Công tác nội chính, phòng, chống tham nhũng, lãng phí, tiêu cực, tiếp công dân, giải quyết kiến nghị, phản ánh và cải cách tư pháp được quan tâm chỉ đạo thực hiện theo quy định. Cùng với đó, Đảng ủy lãnh đạo tổ chức thực hiện tốt công tác bầu cử đại biểu Quốc hội khóa XVI và đại biểu HĐND các cấp nhiệm kỳ 2026-2031; chỉ đạo hoạt động của HĐND, UBND, MTTQ và các tổ chức chính trị - xã hội bảo đảm đúng chức năng, nhiệm vụ; tăng cường phối hợp giữa các tổ chức trong hệ thống chính trị, hướng mạnh hoạt động về cơ sở. </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Công tác nắm tình hình, tiếp xúc, đối thoại với Nhân dân được chú trọng, kịp thời phát hiện, chỉ đạo giải quyết những vấn đề phát sinh, góp phần củng cố niềm tin, tạo sự đồng thuận trong Nhân dân.c</w:t>
      </w:r>
    </w:p>
    <w:p w14:paraId="10543992">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III. Kết quả lãnh đạo thực hiện nhiệm vụ chính trị</w:t>
      </w:r>
    </w:p>
    <w:p w14:paraId="10543993">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1. Công tác xây dựng Đảng và hệ thống chính trị</w:t>
      </w:r>
    </w:p>
    <w:p w14:paraId="45D8D8BD">
      <w:pPr>
        <w:ind w:firstLine="720"/>
        <w:jc w:val="both"/>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1.1. Công tác chính trị, tư tưởng</w:t>
      </w:r>
    </w:p>
    <w:p w14:paraId="2AFFAE64">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ủy tập trung lãnh đạo, chỉ đạo công tác chính trị, tư tưởng; kịp thời quán triệt, triển khai các nghị quyết, chỉ thị, kết luận của Trung ương, Tỉnh ủy và nhiệm vụ chính trị của địa phương; chủ động nắm tình hình tư tưởng của cán bộ, đảng viên và Nhân dân. Nội dung, phương thức tuyên truyền được đổi mới, kết hợp hội nghị trực tiếp, trực tuyến, sinh hoạt chi bộ, hệ thống truyền thanh và các nền tảng số.</w:t>
      </w:r>
    </w:p>
    <w:p w14:paraId="2DD2031A">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Trong 9 tháng đầu năm, Đảng ủy tổ chức 46 hội nghị quán triệt, tuyên truyền với 1.580 lượt người tham gia; riêng Hội nghị trực tuyến học tập, quán triệt Nghị quyết Đại hội XIV của Đảng có 560 lượt cán bộ, đảng viên tham dự. Tổ chức Hội thi Báo cáo viên giỏi cấp xã với 31 báo cáo viên tham gia, trao 10 giải và lựa chọn 01 báo cáo viên tham gia cấp tỉnh, góp phần nâng cao chất lượng tuyên truyền, giáo dục chính trị, tư tưởng. </w:t>
      </w:r>
    </w:p>
    <w:p w14:paraId="6CCDCEF0">
      <w:pPr>
        <w:ind w:firstLine="720"/>
        <w:jc w:val="both"/>
        <w:rPr>
          <w:b/>
          <w:bCs/>
          <w:i/>
          <w:iCs/>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1.2. Công tác tổ chức, cán bộ, đảng viên và bảo vệ chính trị nội bộ</w:t>
      </w:r>
    </w:p>
    <w:p w14:paraId="2E88CCDE">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Đảng ủy tập trung rà soát, sắp xếp, kiện toàn tổ chức bộ máy gắn với sắp xếp thôn, bản và cơ sở giáo dục; bố trí, phân công cán bộ phù hợp vị trí việc làm, năng lực và yêu cầu nhiệm vụ. Sau sắp xếp, tiếp tục kiện toàn tổ chức đảng tại 12 thôn và 04 trường học, bổ sung cấp ủy, phân công nhiệm vụ, bảo đảm hoạt động của tổ chức đảng liên tục, nền nếp. </w:t>
      </w:r>
    </w:p>
    <w:p w14:paraId="512827E8">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Trong 9 tháng, thực hiện điều động, luân chuyển 09 đồng chí, cử 01 đồng chí tham gia đào tạo, bồi dưỡng; riêng tháng 8 bổ nhiệm 02 cán bộ quản lý ngành giáo dục, đề nghị nâng lương thường xuyên đối với 07 đồng chí. Công tác đào tạo, bồi dưỡng, đánh giá, quy hoạch, bố trí và thực hiện chế độ, chính sách cán bộ được triển khai theo quy định.</w:t>
      </w:r>
    </w:p>
    <w:p w14:paraId="0C8FBF29">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Công tác xây dựng tổ chức cơ sở đảng và phát triển đảng viên được chú trọng; kết nạp mới 27/26 đảng viên, đạt 104% kế hoạch; toàn Đảng bộ có 747 đảng viên. Công tác chuyển sinh hoạt Đảng, công nhận đảng viên chính thức, quản lý thẻ, chỉnh lý hồ sơ được thực hiện thường xuyên; cơ sở dữ liệu đảng viên trên Hệ thống 4.0 được cập nhật đạt khoảng 70%. </w:t>
      </w:r>
    </w:p>
    <w:p w14:paraId="01A52D23">
      <w:pPr>
        <w:ind w:firstLine="720"/>
        <w:jc w:val="both"/>
        <w:rPr>
          <w:color w:val="000000" w:themeColor="text1"/>
          <w:spacing w:val="-6"/>
          <w:sz w:val="28"/>
          <w:szCs w:val="28"/>
          <w14:textFill>
            <w14:solidFill>
              <w14:schemeClr w14:val="tx1"/>
            </w14:solidFill>
          </w14:textFill>
        </w:rPr>
      </w:pPr>
      <w:r>
        <w:rPr>
          <w:color w:val="000000" w:themeColor="text1"/>
          <w:spacing w:val="-6"/>
          <w:sz w:val="28"/>
          <w:szCs w:val="28"/>
          <w14:textFill>
            <w14:solidFill>
              <w14:schemeClr w14:val="tx1"/>
            </w14:solidFill>
          </w14:textFill>
        </w:rPr>
        <w:t xml:space="preserve">Công tác bảo vệ chính trị nội bộ được thực hiện chặt chẽ; thường xuyên rà soát, thẩm định tiêu chuẩn chính trị phục vụ công tác quy hoạch, bổ nhiệm, giới thiệu cán bộ và phát triển đảng viên; quản lý hồ sơ cán bộ, đảng viên bảo đảm đúng quy định. </w:t>
      </w:r>
    </w:p>
    <w:p w14:paraId="38C155C2">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Ứng dụng công nghệ thông tin, chuyển đổi số trong công tác Đảng tiếp tục được đẩy mạnh; tỷ lệ văn bản đến của khối Đảng xử lý điện tử đạt 97%, văn bản đi ký số đạt 95%; duy trì 100% các cuộc họp chuyên đề, giao ban Thường trực, hội nghị Ban Chấp hành, Ban Thường vụ theo hình thức phòng họp không giấy. Sổ tay đảng viên điện tử được triển khai tại 100% chi bộ, góp phần đổi mới phương thức lãnh đạo, quản lý và nâng cao hiệu quả công tác Đảng. </w:t>
      </w:r>
    </w:p>
    <w:p w14:paraId="6C03B63D">
      <w:pPr>
        <w:ind w:firstLine="720"/>
        <w:jc w:val="both"/>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1.3. Công tác kiểm tra, giám sát và thi hành kỷ luật Đảng</w:t>
      </w:r>
    </w:p>
    <w:p w14:paraId="65732164">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ủy, Ủy ban Kiểm tra Đảng ủy triển khai chương trình kiểm tra, giám sát năm 2026, tập trung vào việc chấp hành nghị quyết, chỉ thị, quy định của Đảng, thực hiện nhiệm vụ chính trị và trách nhiệm của tổ chức đảng, đảng viên.</w:t>
      </w:r>
    </w:p>
    <w:p w14:paraId="0CD4F470">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Trong 9 tháng, cấp ủy thực hiện 01 cuộc kiểm tra đối với 02 tổ chức đảng và 02 đảng viên, kết quả các đối tượng được kiểm tra thực hiện tốt nội dung kiểm tra; thực hiện 04 cuộc giám sát chuyên đề đối với 10 tổ chức đảng và 10 đảng viên, trong đó đã hoàn thành 02 cuộc đối với 08 tổ chức đảng, 08 đảng viên. Ủy ban Kiểm tra Đảng ủy thực hiện 03 cuộc giám sát chuyên đề, đã hoàn thành 02 cuộc đối với 21 tổ chức đảng và 21 đảng viên. </w:t>
      </w:r>
    </w:p>
    <w:p w14:paraId="19BE3C08">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Công tác giám sát thường xuyên, theo dõi địa bàn, dự sinh hoạt chi bộ và giám sát việc khắc phục hạn chế sau kiểm tra, giám sát được duy trì. </w:t>
      </w:r>
    </w:p>
    <w:p w14:paraId="60B230DF">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Trong kỳ không có tổ chức đảng, đảng viên bị thi hành kỷ luật; tiếp nhận 01 đơn phản ánh, kiến nghị, đã phân loại, xem xét và xử lý theo quy định. </w:t>
      </w:r>
    </w:p>
    <w:p w14:paraId="2F09C017">
      <w:pPr>
        <w:ind w:firstLine="720"/>
        <w:jc w:val="both"/>
        <w:rPr>
          <w:b/>
          <w:bCs/>
          <w:i/>
          <w:iCs/>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1.4. Công tác tuyên giáo, dân vận và thực hiện dân chủ ở cơ sở</w:t>
      </w:r>
    </w:p>
    <w:p w14:paraId="241B0D78">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Công tác tuyên giáo, dân vận được triển khai gắn với nhiệm vụ phát triển kinh tế - xã hội, xây dựng nông thôn mới, bầu cử, sắp xếp tổ chức bộ máy, thôn bản và trường học. Công tác bảo vệ nền tảng tư tưởng của Đảng được tăng cường; Ban Chỉ đạo 35 xã chủ động nắm tình hình trên không gian mạng, ban hành 06 văn bản chỉ đạo, đăng tải, chia sẻ 658 tin, bài tích cực, góp phần cung cấp thông tin chính thống và định hướng dư luận xã hội. </w:t>
      </w:r>
    </w:p>
    <w:p w14:paraId="3CE089A3">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Phong trào “Dân vận khéo”, thực hiện dân chủ ở cơ sở và học tập, làm theo tư tưởng, đạo đức, phong cách Hồ Chí Minh được gắn với các nhiệm vụ cụ thể ở cơ sở. Đảng ủy tổ chức 09 hội nghị tiếp xúc, đối thoại với Nhân dân tại các cụm dân cư, có 1.075 đại biểu tham dự, tiếp nhận 101 lượt ý kiến, kiến nghị liên quan đến giao thông, điện sinh hoạt, đất đai, tiêu thụ sản phẩm, giáo dục, y tế, môi trường và an sinh xã hội; các ý kiến cơ bản được trao đổi, giải đáp trực tiếp. Đồng thời, tăng cường tuyên truyền, vận động Nhân dân trong quá trình sắp xếp từ 20 thôn xuống còn 12 thôn, bảo đảm công khai, dân chủ và phù hợp thực tiễn địa phương. </w:t>
      </w:r>
    </w:p>
    <w:p w14:paraId="105439B1">
      <w:pPr>
        <w:ind w:firstLine="720"/>
        <w:jc w:val="both"/>
        <w:rPr>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1.5. Đánh giá kết quả thực hiện Nghị quyết số 10-NQ/ĐU của Đảng ủy xã</w:t>
      </w:r>
    </w:p>
    <w:p w14:paraId="4C1178DB">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Qua đánh giá </w:t>
      </w:r>
      <w:r>
        <w:rPr>
          <w:b/>
          <w:bCs/>
          <w:color w:val="000000" w:themeColor="text1"/>
          <w:sz w:val="28"/>
          <w:szCs w:val="28"/>
          <w14:textFill>
            <w14:solidFill>
              <w14:schemeClr w14:val="tx1"/>
            </w14:solidFill>
          </w14:textFill>
        </w:rPr>
        <w:t>33 chỉ tiêu</w:t>
      </w:r>
      <w:r>
        <w:rPr>
          <w:color w:val="000000" w:themeColor="text1"/>
          <w:sz w:val="28"/>
          <w:szCs w:val="28"/>
          <w14:textFill>
            <w14:solidFill>
              <w14:schemeClr w14:val="tx1"/>
            </w14:solidFill>
          </w14:textFill>
        </w:rPr>
        <w:t xml:space="preserve"> Nghị quyết số 10-NQ/ĐU năm 2026 đến tháng 9/2026, nhiều chỉ tiêu đã đạt và vượt kế hoạch, nổi bật như diện tích lúa, ngô, cây ăn quả, nuôi trồng thủy sản, khoanh nuôi và bảo vệ rừng, sản phẩm OCOP, thu ngân sách, các chỉ tiêu về y tế, bảo hiểm y tế và kết nạp đảng viên. </w:t>
      </w:r>
    </w:p>
    <w:p w14:paraId="5556535B">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Một số chỉ tiêu đạt khá nhưng cần tiếp tục tập trung thực hiện trong những tháng cuối năm như sản lượng lương thực, chăn nuôi, rau đậu, giải quyết việc làm, lao động qua đào tạo, bảo hiểm xã hội, dịch vụ công trực tuyến. Một số chỉ tiêu còn thấp hoặc chưa thực hiện gồm cây dược liệu, trồng mới rừng, cấp Giấy chứng nhận quyền sử dụng đất, thành lập HTX, THT, trường đạt chuẩn quốc gia và một số chỉ tiêu xây dựng Đảng. </w:t>
      </w:r>
    </w:p>
    <w:p w14:paraId="6BC8B62E">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Các chỉ tiêu đánh giá vào cuối năm như hộ gia đình văn hóa, thôn bản văn hóa, giảm nghèo, tổ chức cơ sở đảng hoàn thành tốt nhiệm vụ, chi bộ “4 tốt” và xếp loại hệ thống chính trị tiếp tục được theo dõi, tổng hợp theo tiến độ. Chỉ tiêu kết nạp đảng viên đạt </w:t>
      </w:r>
      <w:r>
        <w:rPr>
          <w:b/>
          <w:bCs/>
          <w:color w:val="000000" w:themeColor="text1"/>
          <w:sz w:val="28"/>
          <w:szCs w:val="28"/>
          <w14:textFill>
            <w14:solidFill>
              <w14:schemeClr w14:val="tx1"/>
            </w14:solidFill>
          </w14:textFill>
        </w:rPr>
        <w:t>27/26 đồng chí, bằng 104% kế hoạch</w:t>
      </w:r>
      <w:r>
        <w:rPr>
          <w:color w:val="000000" w:themeColor="text1"/>
          <w:sz w:val="28"/>
          <w:szCs w:val="28"/>
          <w14:textFill>
            <w14:solidFill>
              <w14:schemeClr w14:val="tx1"/>
            </w14:solidFill>
          </w14:textFill>
        </w:rPr>
        <w:t>.</w:t>
      </w:r>
    </w:p>
    <w:p w14:paraId="105439B5">
      <w:pPr>
        <w:ind w:firstLine="720"/>
        <w:jc w:val="center"/>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(Có biểu đánh giá chi tiết gửi kèm)</w:t>
      </w:r>
    </w:p>
    <w:p w14:paraId="105439B6">
      <w:pPr>
        <w:ind w:firstLine="720"/>
        <w:jc w:val="both"/>
        <w:rPr>
          <w:b/>
          <w:bCs/>
          <w:i/>
          <w:iCs/>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1.7. Hoạt động của Hội đồng nhân dân (HĐND) xã</w:t>
      </w:r>
    </w:p>
    <w:p w14:paraId="46C8F76D">
      <w:pPr>
        <w:ind w:firstLine="709"/>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ủy đã lãnh đạo Thường trực HĐND xã bám sát Chương trình công tác năm 2026, Quy chế làm việc và nhiệm vụ chính trị của địa phương; chỉ đạo, điều hòa hiệu quả hoạt động của các Ban HĐND xã. Thường trực HĐND xã duy trì nghiêm túc chế độ giao ban, tổ chức 09 phiên họp định kỳ để đánh giá thực hiện nhiệm vụ và chuẩn bị chu đáo các nội dung trình kỳ họp. Trong 9 tháng đầu năm 2026, HĐND xã đã phối hợp tổ chức thành công 07 kỳ họp (gồm 01 kỳ họp khóa II và 06 kỳ họp khóa III nhiệm kỳ 2026–2031), ban hành 52 nghị quyết đúng thẩm quyền và trình tự luật định. Các nghị quyết được ban hành đã kịp thời cụ thể hóa các chủ trương của Đảng, tập trung vào các vấn đề then chốt: kiện toàn tổ chức bộ máy và nhân sự chính quyền khóa mới; phê duyệt kế hoạch phát triển kinh tế - xã hội giai đoạn 2026–2030; điều chỉnh dự toán ngân sách, kế hoạch đầu tư công năm 2026 và đầu tư công trung hạn giai đoạn 2026–2031; sắp xếp mạng lưới trường học, sáp nhập và tổ chức lại các thôn; đồng thời ban hành Quy chế tiếp công dân, đẩy mạnh thực hiện dân chủ ở cơ sở và giải quyết kịp thời các kiến nghị chính đáng của cử tri. Trong 9 tháng, HĐND xã, Thường trực HĐND và các Ban HĐND xã đã tổ chức 06 cuộc giám sát, 03 cuộc khảo sát</w:t>
      </w:r>
      <w:r>
        <w:rPr>
          <w:rStyle w:val="20"/>
          <w:color w:val="000000" w:themeColor="text1"/>
          <w:sz w:val="28"/>
          <w:szCs w:val="28"/>
          <w14:textFill>
            <w14:solidFill>
              <w14:schemeClr w14:val="tx1"/>
            </w14:solidFill>
          </w14:textFill>
        </w:rPr>
        <w:footnoteReference w:id="0"/>
      </w:r>
      <w:r>
        <w:rPr>
          <w:color w:val="000000" w:themeColor="text1"/>
          <w:sz w:val="28"/>
          <w:szCs w:val="28"/>
          <w14:textFill>
            <w14:solidFill>
              <w14:schemeClr w14:val="tx1"/>
            </w14:solidFill>
          </w14:textFill>
        </w:rPr>
        <w:t>; qua giám sát có trên 30 ý kiến kiến nghị, các kiến nghị đã được UBND xã, các phòng chuyên môn, đơn vị đã tiếp thu và đang triển khai thực hiện. Thường trực HĐND phối hợp xã tổ chức tiếp xúc cử tri vận động bầu cử và tiếp xúc cử tri sau kỳ họp cuối năm 2025 và tổ chức trước và sau kỳ hợp thường lệ giữa năm 2026 đã tiếp thu 114 lượt ý kiến.</w:t>
      </w:r>
    </w:p>
    <w:p w14:paraId="105439B8">
      <w:pPr>
        <w:ind w:firstLine="720"/>
        <w:jc w:val="both"/>
        <w:rPr>
          <w:b/>
          <w:bCs/>
          <w:i/>
          <w:iCs/>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1.8. Hoạt động của Ủy ban nhân dân (UBND) xã</w:t>
      </w:r>
    </w:p>
    <w:p w14:paraId="105439B9">
      <w:pPr>
        <w:ind w:firstLine="720"/>
        <w:jc w:val="both"/>
        <w:rPr>
          <w:color w:val="000000" w:themeColor="text1"/>
          <w:spacing w:val="-10"/>
          <w:sz w:val="28"/>
          <w:szCs w:val="28"/>
          <w14:textFill>
            <w14:solidFill>
              <w14:schemeClr w14:val="tx1"/>
            </w14:solidFill>
          </w14:textFill>
        </w:rPr>
      </w:pPr>
      <w:r>
        <w:rPr>
          <w:color w:val="000000" w:themeColor="text1"/>
          <w:spacing w:val="-10"/>
          <w:sz w:val="28"/>
          <w:szCs w:val="28"/>
          <w14:textFill>
            <w14:solidFill>
              <w14:schemeClr w14:val="tx1"/>
            </w14:solidFill>
          </w14:textFill>
        </w:rPr>
        <w:t>Trong 9 tháng đầu năm 2026, Ủy ban nhân dân xã đã bám sát các chủ trương, nghị quyết của cấp ủy, tập trung chỉ đạo, điều hành quyết liệt, linh hoạt và đồng bộ các nhiệm vụ trọng tâm. Nổi bật trong công tác quản lý nhà nước về tài nguyên - môi trường là việc đẩy nhanh tiến độ "Chiến dịch 120 ngày" (đợt 2) về đo đạc, lập bản đồ, chuyển dữ liệu thông tin đất đai; chủ động tháo gỡ các điểm nghẽn trong công tác bồi thường, giải phóng mặt bằng và kiên quyết tham mưu xử lý dứt điểm các trường hợp xây dựng trái phép trên đất nông nghiệp. Về phát triển kinh tế và hạ tầng, đã tập trung đôn đốc Nhân dân thu hoạch nông sản đảm bảo khung thời vụ, đồng thời quyết liệt tháo gỡ vướng mắc nhằm đẩy nhanh tiến độ thi công các công trình giao thông nông thôn và giải ngân vốn đầu tư công. Trên lĩnh vực văn hóa - giáo dục, đã thực hiện thành công phương án sắp xếp, sáp nhập mạng lưới trường lớp (giảm 05 trường học) và chuẩn bị chu đáo, toàn diện các điều kiện cho năm học mới 2026-2027. Cùng với đó, Ủy ban nhân dân xã tiếp tục duy trì nghiêm kỷ cương hành chính, nền nếp tiếp công dân, giải quyết dứt điểm đơn thư, kiến nghị ngay từ cơ sở; đẩy mạnh hiệu quả công tác cải cách thủ tục hành chính, chuyển đổi số và bám sát kế hoạch, chuẩn bị tốt nhất các điều kiện phục vụ diễn tập quân sự địa phương.</w:t>
      </w:r>
    </w:p>
    <w:p w14:paraId="105439BA">
      <w:pPr>
        <w:ind w:firstLine="720"/>
        <w:jc w:val="both"/>
        <w:rPr>
          <w:b/>
          <w:bCs/>
          <w:i/>
          <w:iCs/>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1.9. Hoạt động của Mặt trận Tổ quốc và các đoàn thể chính trị - xã hội</w:t>
      </w:r>
    </w:p>
    <w:p w14:paraId="7FAAD624">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ủy tập trung lãnh đạo, định hướng MTTQ và các tổ chức chính trị - xã hội đổi mới nội dung, phương thức hoạt động, hướng mạnh về cơ sở; tăng cường tuyên truyền, vận động Nhân dân, nắm tình hình dân tộc, tôn giáo, tham gia xây dựng Đảng, chính quyền, giám sát, phản biện xã hội, chăm lo an sinh và triển khai các phong trào thi đua. Sau sắp xếp, tổ chức ở cơ sở tiếp tục được củng cố, duy trì, góp phần bảo đảm hoạt động liên tục tại địa bàn dân cư.</w:t>
      </w:r>
    </w:p>
    <w:p w14:paraId="151B63D0">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Đoàn Thanh niên tổ chức 32 hoạt động với trên 3.600 lượt đoàn viên, thanh niên tham gia, xây dựng 02 mô hình mới; tổ chức 04 đợt “Ngày Chủ nhật xanh” với trên 400 lượt đoàn viên, trao 200 suất quà cho Nhân dân và thiếu nhi có hoàn cảnh khó khăn. </w:t>
      </w:r>
    </w:p>
    <w:p w14:paraId="57E62F0B">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Hội Liên hiệp Phụ nữ đẩy mạnh chuyển đổi số, rà soát, chuẩn hóa dữ liệu 1.704/1.754 hội viên, đạt 97%, thành lập 01 mô hình “Chi hội phụ nữ số”, đồng thời hỗ trợ hội viên tiếp cận vốn, phát triển kinh tế.</w:t>
      </w:r>
    </w:p>
    <w:p w14:paraId="28E03F11">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Hội Nông dân tổ chức 19 buổi tuyên truyền với 1.056 lượt người, xây dựng 03 mô hình sản xuất, chăn nuôi; có 200/2.269 hộ đạt danh hiệu sản xuất, kinh doanh giỏi; quản lý trên 20 tỷ đồng dư nợ cho 294 hộ vay, vận động Nhân dân duy tu 24,7 km đường và 81,2 km kênh mương. </w:t>
      </w:r>
    </w:p>
    <w:p w14:paraId="34A79E86">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Hội Cựu chiến binh duy trì 12/12 chi hội với 210 hội viên, quản lý 19,65 tỷ đồng vốn vay/280 hộ, không có nợ quá hạn; giới thiệu 04 quần chúng ưu tú cho Đảng, trong đó 01 hội viên được kết nạp; tích cực tham gia bảo đảm an ninh trật tự, xây dựng nông thôn mới và tuyên truyền, vận động 26 công dân lên đường nhập ngũ năm 2026.</w:t>
      </w:r>
    </w:p>
    <w:p w14:paraId="1D79593E">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Qua đó, vai trò của MTTQ và các tổ chức chính trị - xã hội tiếp tục được phát huy, góp phần củng cố khối đại đoàn kết toàn dân, hỗ trợ phát triển kinh tế, giảm nghèo, xây dựng nông thôn mới, giữ vững an ninh trật tự và tăng cường sự đồng thuận trong Nhân dân.</w:t>
      </w:r>
    </w:p>
    <w:p w14:paraId="105439BF">
      <w:pPr>
        <w:ind w:firstLine="720"/>
        <w:jc w:val="both"/>
        <w:rPr>
          <w:b/>
          <w:bCs/>
          <w:i/>
          <w:iCs/>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1.10. Hoạt động của các chi bộ trực thuộc</w:t>
      </w:r>
    </w:p>
    <w:p w14:paraId="105439C0">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Trong 9 tháng đầu năm 2026, các chi bộ trực thuộc Đảng bộ xã bám sát sự lãnh đạo, chỉ đạo của Đảng ủy, chủ động triển khai nhiệm vụ theo chương trình, kế hoạch đề ra. Duy trì nền nếp sinh hoạt định kỳ, sinh hoạt chuyên đề; kịp thời quán triệt, triển khai các nghị quyết, chỉ thị, kết luận của cấp trên. Thường trực Đảng ủy, các đồng chí Ủy viên Ban Chấp hành được phân công phụ trách thường xuyên dự sinh hoạt, nắm tình hình, hướng dẫn, tháo gỡ khó khăn tại cơ sở.</w:t>
      </w:r>
    </w:p>
    <w:p w14:paraId="105439C1">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Các chi bộ phát huy vai trò hạt nhân chính trị, tập trung lãnh đạo cán bộ, đảng viên và Nhân dân thực hiện nhiệm vụ phát triển kinh tế - xã hội, quốc phòng - an ninh; tuyên truyền, vận động Nhân dân phát triển sản xuất, bảo vệ rừng, xây dựng nông thôn mới, giữ gìn vệ sinh môi trường và thực hiện các phong trào thi đua. Công tác quản lý, giáo dục, rèn luyện đảng viên được quan tâm; thực hiện phân công nhiệm vụ, quản lý đảng viên đi làm ăn xa, sử dụng “Sổ tay điện tử đảng viên”; chú trọng tạo nguồn, bồi dưỡng quần chúng ưu tú để xem xét kết nạp Đảng. Công tác kiểm tra, giám sát được tăng cường, góp phần kịp thời chấn chỉnh những hạn chế, nâng cao chất lượng sinh hoạt chi bộ.</w:t>
      </w:r>
    </w:p>
    <w:p w14:paraId="105439C2">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2. Lãnh đạo, chỉ đạo phát triển kinh tế - xã hội</w:t>
      </w:r>
    </w:p>
    <w:p w14:paraId="105439C3">
      <w:pPr>
        <w:ind w:firstLine="720"/>
        <w:jc w:val="both"/>
        <w:rPr>
          <w:b/>
          <w:bCs/>
          <w:i/>
          <w:iCs/>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2.1. Lĩnh vực phát triển kinh tế</w:t>
      </w:r>
    </w:p>
    <w:p w14:paraId="2736C23E">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a) Sản xuất nông, lâm nghiệp:</w:t>
      </w:r>
      <w:r>
        <w:rPr>
          <w:color w:val="000000" w:themeColor="text1"/>
          <w:sz w:val="28"/>
          <w:szCs w:val="28"/>
          <w14:textFill>
            <w14:solidFill>
              <w14:schemeClr w14:val="tx1"/>
            </w14:solidFill>
          </w14:textFill>
        </w:rPr>
        <w:t xml:space="preserve"> Trong 9 tháng đầu năm, sản xuất nông, lâm nghiệp cơ bản bám sát khung thời vụ. Diện tích lúa đạt 650/650 ha, bằng 100% kế hoạch; ngô đạt 1.110/1.110 ha, bằng 100%. Sản lượng lương thực có hạt đạt 6.219/8.763 tấn, bằng 71%, ước đến hết tháng 9 đạt 100% kế hoạch; trong đó ngô đạt 5.057/5.217 tấn, bằng 96,9%. Diện tích rau đậu đạt 117,4/132 ha, bằng 88,9%; cây dược liệu 65/120 ha, bằng 54,2%; cây ăn quả 581/580 ha, đạt 100,2%. </w:t>
      </w:r>
    </w:p>
    <w:p w14:paraId="7AC68376">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Chăn nuôi tiếp tục được duy trì; tổng đàn gia súc đạt 12.959 con, đàn gia cầm 68.717 con, sản lượng thịt hơi xuất chuồng 775,9/1.070 tấn, đạt 72,5%. Diện tích nuôi thủy sản đạt 0,7/0,7 ha, sản lượng đạt 1,24/2 tấn, bằng 62%. Công tác quản lý, bảo vệ rừng được tăng cường; trồng mới rừng tập trung đạt 29/56 ha, bằng 51,8%; khoán bảo vệ 2.469,64 ha, khoanh nuôi tái sinh 13 ha, đều đạt 100% kế hoạch; tỷ lệ che phủ rừng đạt 38,88%. </w:t>
      </w:r>
    </w:p>
    <w:p w14:paraId="2CAE35E3">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b) Xây dựng cơ bản và phát triển giao thông nông thôn:</w:t>
      </w:r>
      <w:r>
        <w:rPr>
          <w:color w:val="000000" w:themeColor="text1"/>
          <w:sz w:val="28"/>
          <w:szCs w:val="28"/>
          <w14:textFill>
            <w14:solidFill>
              <w14:schemeClr w14:val="tx1"/>
            </w14:solidFill>
          </w14:textFill>
        </w:rPr>
        <w:t xml:space="preserve"> Tập trung đôn đốc tiến độ 16 công trình với tổng chiều dài 18,45 km; đã mở mới 1,062 km nền đường, mở rộng 4,432 km, bê tông hóa 2,517 km và hoàn thành 11 hạng mục cống thoát nước. Hoàn thành lựa chọn nhà thầu đối với 08 tuyến đường thi công mới và 41 tuyến duy tu, bảo dưỡng; lũy kế giải ngân đến ngày 20/9/2026 đạt 15.079,4 triệu đồng/46.224 triệu đồng, bằng 32,6% kế hoạch vốn. </w:t>
      </w:r>
    </w:p>
    <w:p w14:paraId="7A320016">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c) Tài chính, ngân sách và thương mại:</w:t>
      </w:r>
      <w:r>
        <w:rPr>
          <w:color w:val="000000" w:themeColor="text1"/>
          <w:sz w:val="28"/>
          <w:szCs w:val="28"/>
          <w14:textFill>
            <w14:solidFill>
              <w14:schemeClr w14:val="tx1"/>
            </w14:solidFill>
          </w14:textFill>
        </w:rPr>
        <w:t xml:space="preserve"> Công tác quản lý, điều hành thu, chi ngân sách được thực hiện chặt chẽ, đúng quy định. Thu ngân sách nhà nước trên địa bàn đạt 3.006/1.095 triệu đồng, bằng 274,5% kế hoạch, ước đến hết tháng 9 đạt 3.040 triệu đồng, bằng 277,6% kế hoạch. Thu ngân sách địa phương đạt 246.968/166.776 triệu đồng, bằng 148,1% kế hoạch, ước đạt 247.000 triệu đồng, bằng 148,1% kế hoạch. Tổng chi ngân sách địa phương đạt 130.512/166.776 triệu đồng, bằng 78,3% dự toán, ước đến hết tháng 9 đạt 135.000 triệu đồng, bằng 81,0% dự toán. </w:t>
      </w:r>
    </w:p>
    <w:p w14:paraId="6B3A4D77">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Hoạt động thương mại, dịch vụ, nhất là tại chợ phiên Lùng Phình, cơ bản ổn định; nguồn cung hàng hóa thiết yếu được bảo đảm. Trong kỳ đã cấp mới giấy chứng nhận đăng ký kinh doanh cho 23 hộ, đạt 230% chỉ tiêu, góp phần thúc đẩy hoạt động sản xuất, kinh doanh trên địa bàn. </w:t>
      </w:r>
    </w:p>
    <w:p w14:paraId="2A6C627F">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 xml:space="preserve">d) Sản xuất tiểu thủ công nghiệp và ngành nghề nông thôn: </w:t>
      </w:r>
      <w:r>
        <w:rPr>
          <w:color w:val="000000" w:themeColor="text1"/>
          <w:sz w:val="28"/>
          <w:szCs w:val="28"/>
          <w14:textFill>
            <w14:solidFill>
              <w14:schemeClr w14:val="tx1"/>
            </w14:solidFill>
          </w14:textFill>
        </w:rPr>
        <w:t xml:space="preserve">Tiếp tục duy trì các ngành nghề phù hợp với điều kiện địa phương như chế biến nông, lâm sản, nấu rượu, may thêu thổ cẩm, rèn đúc nông cụ và cơ khí dân sinh; giá trị sản xuất tiểu thủ công nghiệp trong quý ước đạt 120 triệu đồng. Hệ thống điện tại 12/12 thôn được duy trì ổn định, phục vụ sản xuất và đời sống Nhân dân. </w:t>
      </w:r>
    </w:p>
    <w:p w14:paraId="1B0B680C">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đ) Xây dựng nông thôn mới và OCOP:</w:t>
      </w:r>
      <w:r>
        <w:rPr>
          <w:color w:val="000000" w:themeColor="text1"/>
          <w:sz w:val="28"/>
          <w:szCs w:val="28"/>
          <w14:textFill>
            <w14:solidFill>
              <w14:schemeClr w14:val="tx1"/>
            </w14:solidFill>
          </w14:textFill>
        </w:rPr>
        <w:t xml:space="preserve"> Tiếp tục rà soát, duy trì các tiêu chí xây dựng nông thôn mới, tập trung giao thông, môi trường, cảnh quan nông thôn; duy trì và phát huy hiệu quả 03/03 sản phẩm OCOP, đạt 100% kế hoạch. </w:t>
      </w:r>
    </w:p>
    <w:p w14:paraId="1FA359E5">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e) Công tác phòng, chống thiên tai và khắc phục hậu quả:</w:t>
      </w:r>
      <w:r>
        <w:rPr>
          <w:color w:val="000000" w:themeColor="text1"/>
          <w:sz w:val="28"/>
          <w:szCs w:val="28"/>
          <w14:textFill>
            <w14:solidFill>
              <w14:schemeClr w14:val="tx1"/>
            </w14:solidFill>
          </w14:textFill>
        </w:rPr>
        <w:t xml:space="preserve"> Chủ động triển khai phương châm “4 tại chỗ”, kịp thời hỗ trợ Nhân dân khắc phục thiệt hại. Đợt mưa đá, dông lốc ngày 16-17/4/2026 làm 09 hộ bị tốc mái dưới 30%, khoảng 4,1 ha cây ăn quả và 5 ha ngô bị thiệt hại, tổng giá trị ước trên 657 triệu đồng; qua rà soát các đợt sau có 02 hộ đủ điều kiện đề nghị hỗ trợ với tổng kinh phí 12 triệu đồng. </w:t>
      </w:r>
    </w:p>
    <w:p w14:paraId="58BC6F3F">
      <w:pPr>
        <w:ind w:firstLine="720"/>
        <w:jc w:val="both"/>
        <w:rPr>
          <w:b/>
          <w:bCs/>
          <w:i/>
          <w:iCs/>
          <w:color w:val="000000" w:themeColor="text1"/>
          <w:sz w:val="28"/>
          <w:szCs w:val="28"/>
          <w14:textFill>
            <w14:solidFill>
              <w14:schemeClr w14:val="tx1"/>
            </w14:solidFill>
          </w14:textFill>
        </w:rPr>
      </w:pPr>
      <w:r>
        <w:rPr>
          <w:b/>
          <w:bCs/>
          <w:i/>
          <w:iCs/>
          <w:color w:val="000000" w:themeColor="text1"/>
          <w:sz w:val="28"/>
          <w:szCs w:val="28"/>
          <w14:textFill>
            <w14:solidFill>
              <w14:schemeClr w14:val="tx1"/>
            </w14:solidFill>
          </w14:textFill>
        </w:rPr>
        <w:t>2.2. Công tác quản lý tài nguyên và bảo vệ môi trường</w:t>
      </w:r>
    </w:p>
    <w:p w14:paraId="5004A18C">
      <w:pPr>
        <w:ind w:firstLine="720"/>
        <w:jc w:val="both"/>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a) Đất đai và giải phóng mặt bằng:</w:t>
      </w:r>
      <w:r>
        <w:rPr>
          <w:color w:val="000000" w:themeColor="text1"/>
          <w:sz w:val="28"/>
          <w:szCs w:val="28"/>
          <w14:textFill>
            <w14:solidFill>
              <w14:schemeClr w14:val="tx1"/>
            </w14:solidFill>
          </w14:textFill>
        </w:rPr>
        <w:t xml:space="preserve"> Tiếp tục triển khai “Chiến dịch 120 ngày” về đo đạc, lập bản đồ, hoàn thiện dữ liệu đất đai; rà soát, phân loại 47 trường hợp xây dựng nhà ở, công trình trên đất nông nghiệp. Kết quả cấp Giấy chứng nhận quyền sử dụng đất lần đầu, cấp đổi, cấp lại đạt 36/51 giấy, bằng 70,6%, ước đến hết tháng 9 đạt 40/51 giấy, bằng 78,4%; đăng ký biến động đất đai đạt 19/10 hồ sơ, bằng 190% kế hoạch.</w:t>
      </w:r>
      <w:r>
        <w:rPr>
          <w:i/>
          <w:iCs/>
          <w:color w:val="000000" w:themeColor="text1"/>
          <w:sz w:val="28"/>
          <w:szCs w:val="28"/>
          <w14:textFill>
            <w14:solidFill>
              <w14:schemeClr w14:val="tx1"/>
            </w14:solidFill>
          </w14:textFill>
        </w:rPr>
        <w:t xml:space="preserve"> </w:t>
      </w:r>
    </w:p>
    <w:p w14:paraId="5CB653A5">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 xml:space="preserve">b) Bảo vệ môi trường: </w:t>
      </w:r>
      <w:r>
        <w:rPr>
          <w:color w:val="000000" w:themeColor="text1"/>
          <w:sz w:val="28"/>
          <w:szCs w:val="28"/>
          <w14:textFill>
            <w14:solidFill>
              <w14:schemeClr w14:val="tx1"/>
            </w14:solidFill>
          </w14:textFill>
        </w:rPr>
        <w:t xml:space="preserve">Tỷ lệ thu gom, xử lý rác thải sinh hoạt đạt 82%, hộ thực hiện phân loại rác tại nguồn đạt 65%, đều hoàn thành kế hoạch; dân cư sử dụng nước hợp vệ sinh đạt 96%; hộ có nhà tiêu hợp vệ sinh đạt 80%, bằng 114,3% kế hoạch. Tiếp tục tăng cường vệ sinh môi trường, quản lý bãi rác tập trung và xây dựng cảnh quan sáng - xanh - sạch - đẹp. </w:t>
      </w:r>
    </w:p>
    <w:p w14:paraId="59B3CE56">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3. Lãnh đạo, chỉ đạo phát triển lĩnh vực văn hóa - xã hội</w:t>
      </w:r>
    </w:p>
    <w:p w14:paraId="61FF9A93">
      <w:pPr>
        <w:ind w:firstLine="720"/>
        <w:jc w:val="both"/>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 xml:space="preserve">a) Giáo dục và đào tạo: </w:t>
      </w:r>
      <w:r>
        <w:rPr>
          <w:color w:val="000000" w:themeColor="text1"/>
          <w:sz w:val="28"/>
          <w:szCs w:val="28"/>
          <w14:textFill>
            <w14:solidFill>
              <w14:schemeClr w14:val="tx1"/>
            </w14:solidFill>
          </w14:textFill>
        </w:rPr>
        <w:t>Sau sắp xếp, mạng lưới giáo dục của xã còn 04 trường, hoạt động cơ bản ổn định; tỷ lệ trẻ 6 tuổi vào lớp 1 đạt 100%, tỷ lệ huy động trẻ từ 6-14 tuổi đến trường đạt 99,3%. Toàn xã duy trì 02/04 trường đạt chuẩn quốc gia, đạt 50%, trong khi chỉ tiêu năm là 82%; tiếp tục duy trì phổ cập giáo dục, xóa mù chữ và thực hiện đầy đủ chính sách hỗ trợ học sinh.</w:t>
      </w:r>
      <w:r>
        <w:rPr>
          <w:i/>
          <w:iCs/>
          <w:color w:val="000000" w:themeColor="text1"/>
          <w:sz w:val="28"/>
          <w:szCs w:val="28"/>
          <w14:textFill>
            <w14:solidFill>
              <w14:schemeClr w14:val="tx1"/>
            </w14:solidFill>
          </w14:textFill>
        </w:rPr>
        <w:t xml:space="preserve"> </w:t>
      </w:r>
    </w:p>
    <w:p w14:paraId="25D9D15F">
      <w:pPr>
        <w:ind w:firstLine="720"/>
        <w:jc w:val="both"/>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 xml:space="preserve">b) Y tế, dân số và chăm sóc sức khỏe Nhân dân: </w:t>
      </w:r>
      <w:r>
        <w:rPr>
          <w:color w:val="000000" w:themeColor="text1"/>
          <w:sz w:val="28"/>
          <w:szCs w:val="28"/>
          <w14:textFill>
            <w14:solidFill>
              <w14:schemeClr w14:val="tx1"/>
            </w14:solidFill>
          </w14:textFill>
        </w:rPr>
        <w:t>Công tác khám, chữa bệnh, y tế dự phòng, phòng chống dịch bệnh và an toàn thực phẩm được duy trì; 9 tháng đã khám, điều trị cho trên 12.800 lượt người, không xảy ra dịch bệnh lớn, ngộ độc thực phẩm. Xã duy trì 100% tiêu chí quốc gia về y tế; tỷ lệ trẻ dưới 5 tuổi suy dinh dưỡng thể thấp còi còn 22,91%, thể nhẹ cân 14,4%; hồ sơ sức khỏe điện tử đạt 96,5%, tỷ lệ bao phủ BHYT đạt 99%.</w:t>
      </w:r>
      <w:r>
        <w:rPr>
          <w:i/>
          <w:iCs/>
          <w:color w:val="000000" w:themeColor="text1"/>
          <w:sz w:val="28"/>
          <w:szCs w:val="28"/>
          <w14:textFill>
            <w14:solidFill>
              <w14:schemeClr w14:val="tx1"/>
            </w14:solidFill>
          </w14:textFill>
        </w:rPr>
        <w:t xml:space="preserve"> </w:t>
      </w:r>
    </w:p>
    <w:p w14:paraId="3041E66E">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c) Lao động, việc làm, giảm nghèo và an sinh xã hội</w:t>
      </w:r>
      <w:r>
        <w:rPr>
          <w:b/>
          <w:bCs/>
          <w:i/>
          <w:iCs/>
          <w:color w:val="000000" w:themeColor="text1"/>
          <w:sz w:val="28"/>
          <w:szCs w:val="28"/>
          <w14:textFill>
            <w14:solidFill>
              <w14:schemeClr w14:val="tx1"/>
            </w14:solidFill>
          </w14:textFill>
        </w:rPr>
        <w:t>:</w:t>
      </w:r>
      <w:r>
        <w:rPr>
          <w:i/>
          <w:iCs/>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Các chế độ, chính sách đối với người có công, đối tượng bảo trợ xã hội và các nhóm yếu thế được thực hiện kịp thời; đã chi trả trợ cấp cho 375 đối tượng với tổng kinh phí trên 768 triệu đồng. Theo Biểu 33 chỉ tiêu, giải quyết việc làm mới đạt 108/180 lao động, bằng 60% kế hoạch; tỷ lệ lao động qua đào tạo đạt 67,5/68%, bằng 99,3%. Tỷ lệ tham gia BHXH đạt 47%, BHXH bắt buộc 40%, BHXH tự nguyện 6%, BHTN 35%, BHYT 99%. Mục tiêu giảm tỷ lệ nghèo năm 2026 là 7,15%, kết quả chính thức được xác định sau rà soát cuối năm. </w:t>
      </w:r>
    </w:p>
    <w:p w14:paraId="6B31D749">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 xml:space="preserve">d) Văn hóa, thông tin, thể dục thể thao và du lịch: </w:t>
      </w:r>
      <w:r>
        <w:rPr>
          <w:color w:val="000000" w:themeColor="text1"/>
          <w:sz w:val="28"/>
          <w:szCs w:val="28"/>
          <w14:textFill>
            <w14:solidFill>
              <w14:schemeClr w14:val="tx1"/>
            </w14:solidFill>
          </w14:textFill>
        </w:rPr>
        <w:t>Công tác xây dựng đời sống văn hóa, bảo tồn và phát huy bản sắc các dân tộc được quan tâm gắn với phát triển du lịch cộng đồng; duy trì các hoạt động văn hóa, văn nghệ, thể dục thể thao và phát huy hiệu quả chợ phiên</w:t>
      </w:r>
      <w:bookmarkStart w:id="0" w:name="_GoBack"/>
      <w:bookmarkEnd w:id="0"/>
      <w:r>
        <w:rPr>
          <w:color w:val="000000" w:themeColor="text1"/>
          <w:sz w:val="28"/>
          <w:szCs w:val="28"/>
          <w14:textFill>
            <w14:solidFill>
              <w14:schemeClr w14:val="tx1"/>
            </w14:solidFill>
          </w14:textFill>
        </w:rPr>
        <w:t xml:space="preserve"> Lùng Phình. Trong </w:t>
      </w:r>
      <w:r>
        <w:rPr>
          <w:rFonts w:hint="default"/>
          <w:color w:val="000000" w:themeColor="text1"/>
          <w:sz w:val="28"/>
          <w:szCs w:val="28"/>
          <w:lang w:val="en-US"/>
          <w14:textFill>
            <w14:solidFill>
              <w14:schemeClr w14:val="tx1"/>
            </w14:solidFill>
          </w14:textFill>
        </w:rPr>
        <w:t>9</w:t>
      </w:r>
      <w:r>
        <w:rPr>
          <w:color w:val="000000" w:themeColor="text1"/>
          <w:sz w:val="28"/>
          <w:szCs w:val="28"/>
          <w14:textFill>
            <w14:solidFill>
              <w14:schemeClr w14:val="tx1"/>
            </w14:solidFill>
          </w14:textFill>
        </w:rPr>
        <w:t xml:space="preserve"> tháng đầu năm đã tổ chức 01 buổi giao lưu văn nghệ quần chúng, 02 hoạt động thể thao và tổ chức thành công Lễ hội “Điểm hẹn ngắm hoa lê, say hoa mận”, thu hút trên 25.000 lượt Nhân dân và du khách. </w:t>
      </w:r>
    </w:p>
    <w:p w14:paraId="5FB7E060">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Công tác bảo tồn văn hóa truyền thống tiếp tục được chú trọng; chỉ đạo tổ chức Lễ hội cúng rừng truyền thống năm 2026 theo hướng trang trọng, an toàn, tiết</w:t>
      </w:r>
    </w:p>
    <w:p w14:paraId="721CF6BD">
      <w:pPr>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kiệm, gắn với bảo vệ rừng, bảo vệ môi trường và phát triển du lịch cộng đồng. </w:t>
      </w:r>
    </w:p>
    <w:p w14:paraId="5C32AE2A">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Chỉ số hạnh phúc của người dân đạt 40%, bằng 75% kế hoạch, các chỉ tiêu gia đình văn hóa, thôn văn hóa tiếp tục đánh giá vào cuối năm. Tổng khách tham quan du lịch đạt 7.760/8.000 lượt, bằng 97% kế hoạch, ước đến hết tháng 9 đạt 8.000 lượt; doanh thu du lịch đạt 21,11 tỷ đồng, bằng khoảng 147% kế hoạch 14,4 tỷ đồng, ước đạt 24 tỷ đồng. </w:t>
      </w:r>
    </w:p>
    <w:p w14:paraId="105439D5">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4. Lãnh đạo về công tác quốc phòng, an ninh, nội chính</w:t>
      </w:r>
    </w:p>
    <w:p w14:paraId="105439D6">
      <w:pPr>
        <w:ind w:firstLine="720"/>
        <w:jc w:val="both"/>
        <w:rPr>
          <w:color w:val="000000" w:themeColor="text1"/>
          <w:spacing w:val="-6"/>
          <w:sz w:val="28"/>
          <w:szCs w:val="28"/>
          <w14:textFill>
            <w14:solidFill>
              <w14:schemeClr w14:val="tx1"/>
            </w14:solidFill>
          </w14:textFill>
        </w:rPr>
      </w:pPr>
      <w:r>
        <w:rPr>
          <w:i/>
          <w:iCs/>
          <w:color w:val="000000" w:themeColor="text1"/>
          <w:spacing w:val="-6"/>
          <w:sz w:val="28"/>
          <w:szCs w:val="28"/>
          <w14:textFill>
            <w14:solidFill>
              <w14:schemeClr w14:val="tx1"/>
            </w14:solidFill>
          </w14:textFill>
        </w:rPr>
        <w:t>a) Công tác quân sự, quốc phòng địa phương</w:t>
      </w:r>
      <w:r>
        <w:rPr>
          <w:color w:val="000000" w:themeColor="text1"/>
          <w:spacing w:val="-6"/>
          <w:sz w:val="28"/>
          <w:szCs w:val="28"/>
          <w14:textFill>
            <w14:solidFill>
              <w14:schemeClr w14:val="tx1"/>
            </w14:solidFill>
          </w14:textFill>
        </w:rPr>
        <w:t>: Cấp ủy, chính quyền địa phương đã tập trung lãnh đạo, chỉ đạo thực hiện toàn diện, hiệu quả nhiệm vụ quân sự, quốc phòng địa phương. Lực lượng vũ trang xã duy trì nghiêm túc, chặt chẽ chế độ trực sẵn sàng chiến đấu, trực ban, trực chỉ huy; bảo đảm an toàn tuyệt đối các mục tiêu trọng điểm, các sự kiện chính trị và các dịp lễ lớn, đồng thời duy trì lực lượng, phương tiện sẵn sàng ứng phó công tác phòng, chống thiên tai, tìm kiếm cứu nạn.</w:t>
      </w:r>
    </w:p>
    <w:p w14:paraId="105439D7">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Ban Chỉ huy Quân sự xã đã chủ động rà soát, hoàn thiện hệ thống văn kiện tác chiến; tập trung cao độ công tác chuẩn bị về lực lượng, cơ sở vật chất và tổ chức luyện tập (đợt 1) phục vụ cuộc Diễn tập ứng phó cháy rừng - Tìm kiếm cứu nạn cấp xã năm 2026 theo kế hoạch, bảo đảm chất lượng, sát thực tế và an toàn tuyệt đối về người, vũ khí trang bị. Song song với đó, công tác tuyển chọn và gọi công dân nhập ngũ năm 2027 được chỉ đạo triển khai chủ động, đúng quy trình; địa phương đã ban hành kế hoạch, chỉ đạo rà soát, nắm chắc nguồn thanh niên trong độ tuổi thực hiện nghĩa vụ quân sự, đồng thời thực hiện nghiêm túc thủ tục di chuyển đăng ký nghĩa vụ quân sự đối với các công dân trúng tuyển đại học, cao đẳng, góp phần củng cố vững chắc nền quốc phòng toàn dân gắn với thế trận an ninh nhân dân tại cơ sở.</w:t>
      </w:r>
    </w:p>
    <w:p w14:paraId="105439D8">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b) Công tác bảo đảm an ninh chính trị, trật tự an toàn xã hội</w:t>
      </w:r>
      <w:r>
        <w:rPr>
          <w:color w:val="000000" w:themeColor="text1"/>
          <w:sz w:val="28"/>
          <w:szCs w:val="28"/>
          <w14:textFill>
            <w14:solidFill>
              <w14:schemeClr w14:val="tx1"/>
            </w14:solidFill>
          </w14:textFill>
        </w:rPr>
        <w:t>: Tình hình an ninh chính trị, trật tự an toàn xã hội trên địa bàn xã tiếp tục được giữ vững, cơ bản ổn định; địa phương chủ động kiểm soát tốt tình hình, không để xảy ra các vụ việc đột xuất, bất ngờ hay hình thành "điểm nóng" về an ninh, trật tự. Cấp ủy, chính quyền đã lãnh đạo, chỉ đạo các lực lượng Công an, Quân sự, Kiểm lâm duy trì thực hiện nghiêm túc, hiệu quả quy chế phối hợp; chủ động nắm chắc tình hình địa bàn từ sớm, từ xa, từ cơ sở. Công tác quản lý nhà nước về an ninh, trật tự, quản lý cư trú, phòng ngừa tội phạm và tệ nạn xã hội được siết chặt, tiếp tục duy trì và giữ vững địa bàn xã "không ma túy". Hoạt động tôn giáo, dân tộc trên địa bàn diễn ra thuần túy, tuân thủ pháp luật. Khối đại đoàn kết toàn dân tiếp tục được củng cố vững chắc; Nhân dân đồng thuận, tin tưởng, chấp hành nghiêm túc các chủ trương, đường lối của Đảng, chính sách, pháp luật của Nhà nước và tích cực tham gia Phong trào "Toàn dân bảo vệ an ninh Tổ quốc", tạo môi trường ổn định, an toàn phục vụ phát triển kinh tế - xã hội địa phương.</w:t>
      </w:r>
    </w:p>
    <w:p w14:paraId="105439D9">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5. Lãnh đạo công tác xây dựng chính quyền, cải cách hành chính và chuyển đổi số</w:t>
      </w:r>
    </w:p>
    <w:p w14:paraId="105439DA">
      <w:pPr>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Cấp ủy, chính quyền địa phương tập trung chỉ đạo triển khai đồng bộ, quyết liệt công tác cải cách hành chính, lấy sự hài lòng của người dân, tổ chức và doanh nghiệp làm thước đo đánh giá hiệu quả hoạt động của bộ máy chính quyền cơ sở. Trung tâm phục vụ hành chính công trong 9 tháng đầu năm đã tiếp nhận 1.842 hồ sơ, trong đó hồ sơ tiếp nhận trực tuyến đạt 1.817 hồ sơ (đạt tỷ lệ rất cao, trên 98,6%), góp phần thúc đẩy mạnh mẽ thói quen giải quyết thủ tục hành chính trên môi trường điện tử. Tỷ lệ hồ sơ giải quyết đúng hạn và trước hạn được giữ vững, hạn chế tối đa tình trạng hồ sơ quá hạn. Quy trình tiếp nhận, hướng dẫn, giải quyết và trả kết quả được niêm yết công khai, minh bạch, tạo điều kiện thuận lợi nhất cho người dân và tổ chức. Cùng với đó, địa phương tiếp tục siết chặt kỷ luật, kỷ cương hành chính; nâng cao tinh thần trách nhiệm, đạo đức công vụ và ý thức phục vụ Nhân dân của đội ngũ cán bộ, công chức, góp phần nâng cao hiệu lực, hiệu quả điều hành của chính quyền địa phương.</w:t>
      </w:r>
    </w:p>
    <w:p w14:paraId="105439DB">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 Công tác chuyển đổi số và triển khai Đề án 06: Đảng ủy, UBND xã tập trung cụ thể hóa và triển khai nghiêm túc Nghị quyết số 57-NQ/TW của Trung ương về đột phá phát triển khoa học, công nghệ, đổi mới sáng tạo và chuyển đổi số quốc gia; tiếp tục đẩy mạnh tiến trình chuyển đổi số toàn diện trên địa bàn. Địa phương phát huy tối đa vai trò nòng cốt của các Tổ công nghệ số cộng đồng trong công tác tuyên truyền, hướng dẫn Nhân dân tiếp cận, khai thác các tiện ích số, nền tảng số và thực hiện dịch vụ công trực tuyến. Công tác rà soát, cập nhật, làm sạch và chuẩn hóa dữ liệu dân cư được chỉ đạo thực hiện thường xuyên, bảo đảm dữ liệu "đúng, đủ, sạch, sống", phục vụ hiệu quả các nhiệm vụ của Đề án 06. Việc ứng dụng công nghệ thông tin, chữ ký số và xử lý văn bản trên môi trường mạng trong chỉ đạo, điều hành được tăng cường; từng bước nâng cao chất lượng dữ liệu, khả năng kết nối, chia sẻ thông tin, đặt nền móng vững chắc cho việc xây dựng chính quyền số, phục vụ người dân và doanh nghiệp ngày càng hiệu quả.</w:t>
      </w:r>
    </w:p>
    <w:p w14:paraId="073EF8C3">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6. Công tác lãnh đạo chỉ đạo </w:t>
      </w:r>
    </w:p>
    <w:p w14:paraId="08B600FC">
      <w:pPr>
        <w:ind w:firstLine="720"/>
        <w:jc w:val="both"/>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a. Công tác bầu cử ĐBQH khóa XVI và HĐND các cấp nhiệm kỳ 2026–2031</w:t>
      </w:r>
    </w:p>
    <w:p w14:paraId="5FC7B9C7">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Đảng ủy tập trung lãnh đạo, chỉ đạo toàn diện công tác bầu cử đại biểu Quốc hội khóa XVI và đại biểu HĐND các cấp nhiệm kỳ 2026–2031; thành lập Ban Chỉ đạo bầu cử, chỉ đạo thành lập Ủy ban bầu cử và các tổ chức phụ trách bầu cử theo quy định; lãnh đạo thực hiện các bước hiệp thương, tuyên truyền, vận động cử tri, chuẩn bị cơ sở vật chất và các phương án bảo đảm an ninh, trật tự. Sau bầu cử, tiếp tục lãnh đạo kiện toàn tổ chức, nhân sự và đưa HĐND, UBND nhiệm kỳ mới vào hoạt động ổn định, đúng quy định. Với 21 khu vực bỏ phiếu. Tổng số cử tri 7.489/7.489 cử đi = 100% tỷ lệ cử tri đi bầu. Số đại biểu được bầu: Quốc hội 3/5 đại biểu; tỉnh: 04/7 đại biểu; xã: 20/34 địa biểu.</w:t>
      </w:r>
    </w:p>
    <w:p w14:paraId="2AAB7135">
      <w:pPr>
        <w:ind w:firstLine="720"/>
        <w:jc w:val="both"/>
        <w:rPr>
          <w:i/>
          <w:iCs/>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b. Công tác Sắp xếp thôn</w:t>
      </w:r>
    </w:p>
    <w:p w14:paraId="604E2D20">
      <w:pPr>
        <w:ind w:firstLine="720"/>
        <w:jc w:val="both"/>
        <w:rPr>
          <w:color w:val="000000" w:themeColor="text1"/>
          <w:spacing w:val="-4"/>
          <w:sz w:val="28"/>
          <w:szCs w:val="28"/>
          <w14:textFill>
            <w14:solidFill>
              <w14:schemeClr w14:val="tx1"/>
            </w14:solidFill>
          </w14:textFill>
        </w:rPr>
      </w:pPr>
      <w:r>
        <w:rPr>
          <w:color w:val="000000" w:themeColor="text1"/>
          <w:spacing w:val="-4"/>
          <w:sz w:val="28"/>
          <w:szCs w:val="28"/>
          <w14:textFill>
            <w14:solidFill>
              <w14:schemeClr w14:val="tx1"/>
            </w14:solidFill>
          </w14:textFill>
        </w:rPr>
        <w:t>Đảng ủy tập trung lãnh đạo, chỉ đạo rà soát, xây dựng và tổ chức thực hiện phương án sắp xếp thôn, bản theo chủ trương của Trung ương và của tỉnh; chú trọng công tác tuyên truyền, nắm tình hình, tạo sự đồng thuận trong cán bộ, đảng viên và Nhân dân. Hoàn thành sắp xếp từ 20 thôn xuống còn 12 thôn; đồng thời chỉ đạo kiện toàn, ổn định tổ chức và hoạt động của chi bộ, Ban Công tác Mặt trận, các chi hội, chi đoàn và các tổ chức ở khu dân cư, bảo đảm hoạt động liên tục, hiệu quả sau sắp xếp.</w:t>
      </w:r>
    </w:p>
    <w:p w14:paraId="3E8D1894">
      <w:pPr>
        <w:ind w:firstLine="720"/>
        <w:jc w:val="both"/>
        <w:rPr>
          <w:i/>
          <w:iCs/>
          <w:color w:val="000000" w:themeColor="text1"/>
          <w:spacing w:val="-4"/>
          <w:sz w:val="28"/>
          <w:szCs w:val="28"/>
          <w14:textFill>
            <w14:solidFill>
              <w14:schemeClr w14:val="tx1"/>
            </w14:solidFill>
          </w14:textFill>
        </w:rPr>
      </w:pPr>
      <w:r>
        <w:rPr>
          <w:i/>
          <w:iCs/>
          <w:color w:val="000000" w:themeColor="text1"/>
          <w:spacing w:val="-4"/>
          <w:sz w:val="28"/>
          <w:szCs w:val="28"/>
          <w14:textFill>
            <w14:solidFill>
              <w14:schemeClr w14:val="tx1"/>
            </w14:solidFill>
          </w14:textFill>
        </w:rPr>
        <w:t>c. Công tác Sắp xếp trường học</w:t>
      </w:r>
    </w:p>
    <w:p w14:paraId="7F277D35">
      <w:pPr>
        <w:ind w:firstLine="720"/>
        <w:jc w:val="both"/>
        <w:rPr>
          <w:color w:val="000000" w:themeColor="text1"/>
          <w:spacing w:val="-4"/>
          <w:sz w:val="28"/>
          <w:szCs w:val="28"/>
          <w14:textFill>
            <w14:solidFill>
              <w14:schemeClr w14:val="tx1"/>
            </w14:solidFill>
          </w14:textFill>
        </w:rPr>
      </w:pPr>
      <w:r>
        <w:rPr>
          <w:color w:val="000000" w:themeColor="text1"/>
          <w:spacing w:val="-4"/>
          <w:sz w:val="28"/>
          <w:szCs w:val="28"/>
          <w14:textFill>
            <w14:solidFill>
              <w14:schemeClr w14:val="tx1"/>
            </w14:solidFill>
          </w14:textFill>
        </w:rPr>
        <w:t xml:space="preserve">Đảng ủy, Ban Thường vụ Đảng ủy tập trung lãnh đạo, chỉ đạo sắp xếp mạng lưới trường học gắn với rà soát quy mô trường, lớp, đội ngũ và cơ sở vật chất; đồng thời tuyên truyền, trao đổi, tạo sự đồng thuận trong quá trình tổ chức thực hiện. Sau sắp xếp, toàn xã còn 04 trường, giảm 05 trường so với năm học trước, gồm 02 trường mầm non với 1.145 trẻ và 02 trường liên cấp Tiểu học và THCS, với 58 lớp Tiểu học/1.400 học sinh và 31 lớp THCS/1.054 học sinh. </w:t>
      </w:r>
    </w:p>
    <w:p w14:paraId="6183E0DF">
      <w:pPr>
        <w:ind w:firstLine="720"/>
        <w:jc w:val="both"/>
        <w:rPr>
          <w:color w:val="000000" w:themeColor="text1"/>
          <w:spacing w:val="-4"/>
          <w:sz w:val="28"/>
          <w:szCs w:val="28"/>
          <w14:textFill>
            <w14:solidFill>
              <w14:schemeClr w14:val="tx1"/>
            </w14:solidFill>
          </w14:textFill>
        </w:rPr>
      </w:pPr>
      <w:r>
        <w:rPr>
          <w:color w:val="000000" w:themeColor="text1"/>
          <w:spacing w:val="-4"/>
          <w:sz w:val="28"/>
          <w:szCs w:val="28"/>
          <w14:textFill>
            <w14:solidFill>
              <w14:schemeClr w14:val="tx1"/>
            </w14:solidFill>
          </w14:textFill>
        </w:rPr>
        <w:t>Đảng ủy tiếp tục chỉ đạo kiện toàn đội ngũ cán bộ quản lý, giáo viên, nhân viên; trong tháng 8 đã bổ nhiệm 02 cán bộ quản lý ngành giáo dục, đồng thời rà soát cơ sở vật chất, trang thiết bị, bảo đảm các trường hoạt động ổn định và thực hiện tốt nhiệm vụ năm học 2026–2027.</w:t>
      </w:r>
    </w:p>
    <w:p w14:paraId="105439DC">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IV. ĐÁNH GIÁ CHUNG</w:t>
      </w:r>
    </w:p>
    <w:p w14:paraId="105439DD">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1. Kết quả nổi bật</w:t>
      </w:r>
    </w:p>
    <w:p w14:paraId="105439DE">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Trong 9 tháng đầu năm 2026, Đảng ủy, Ban Thường vụ Đảng ủy xã đã bám sát sự lãnh đạo, chỉ đạo của Trung ương, Tỉnh ủy và Nghị quyết Đại hội Đảng bộ xã nhiệm kỳ 2025-2030; chủ động, quyết liệt trong lãnh đạo, chỉ đạo, kịp thời cụ thể hóa các chủ trương, nghị quyết thành chương trình, kế hoạch và nhiệm vụ phù hợp với tình hình thực tế địa phương. Hệ thống chính trị sau sắp xếp từng bước ổn định, hoạt động ngày càng nền nếp; vai trò, trách nhiệm của cấp ủy, chính quyền, MTTQ và các tổ chức chính trị - xã hội được phát huy.</w:t>
      </w:r>
    </w:p>
    <w:p w14:paraId="36F1C0DD">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Một số nhiệm vụ lớn về sắp xếp, kiện toàn tổ chức được tập trung lãnh đạo, chỉ đạo và hoàn thành theo kế hoạch; tổ chức thành công công tác bầu cử đại biểu Quốc hội khóa XVI và đại biểu HĐND các cấp nhiệm kỳ 2026–2031; hoàn thành sắp xếp thôn, bản, kiện toàn các tổ chức trong hệ thống chính trị ở khu dân cư; thực hiện sắp xếp, tổ chức lại mạng lưới trường học và bố trí đội ngũ sau sắp xếp; củng cố, kiện toàn các tổ chức cơ sở Đảng, góp phần bảo đảm hệ thống chính trị hoạt động ổn định, liên tục, hiệu quả.</w:t>
      </w:r>
    </w:p>
    <w:p w14:paraId="105439DF">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Công tác xây dựng Đảng được quan tâm toàn diện; công tác chính trị, tư tưởng, tổ chức, cán bộ, quản lý đảng viên, kiểm tra, giám sát, bảo vệ chính trị nội bộ, tuyên giáo, dân vận được triển khai theo chương trình, kế hoạch. Chất lượng sinh hoạt chi bộ, công tác quản lý đảng viên và ứng dụng công nghệ số trong công tác Đảng từng bước được nâng lên.</w:t>
      </w:r>
    </w:p>
    <w:p w14:paraId="105439E0">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Kinh tế - xã hội tiếp tục duy trì ổn định. Một số chỉ tiêu đạt và vượt kế hoạch như thu ngân sách trên địa bàn, thu ngân sách địa phương, diện tích ngô, cây ăn quả, khoanh nuôi tái sinh rừng, diện tích nuôi thủy sản, một số chỉ tiêu về môi trường, y tế, việc làm và đào tạo nghề. Sản xuất nông, lâm nghiệp được tập trung chỉ đạo; công tác quản lý, bảo vệ rừng được tăng cường, không xảy ra cháy rừng, phá rừng. Công tác đầu tư xây dựng cơ bản, phát triển giao thông nông thôn được đẩy mạnh; công tác quản lý đất đai, tài nguyên, môi trường từng bước được chấn chỉnh.</w:t>
      </w:r>
    </w:p>
    <w:p w14:paraId="105439E1">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Các lĩnh vực văn hóa - xã hội, giáo dục, y tế, lao động, việc làm, giảm nghèo và an sinh xã hội được quan tâm; tỷ lệ bao phủ bảo hiểm y tế đạt 99%, xã duy trì 100% tiêu chí quốc gia về y tế. Hoạt động du lịch tiếp tục được chú trọng, góp phần phát huy tiềm năng, lợi thế và tạo thêm nguồn lực phát triển kinh tế địa phương.</w:t>
      </w:r>
    </w:p>
    <w:p w14:paraId="105439E2">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Cải cách hành chính, chuyển đổi số được đẩy mạnh; tỷ lệ hồ sơ trực tuyến cao, việc ứng dụng Sổ tay đảng viên điện tử từng bước đi vào nền nếp. Quốc phòng, an ninh được bảo đảm; an ninh chính trị, trật tự an toàn xã hội cơ bản ổn định, không xảy ra vụ việc nghiêm trọng; công tác phòng, chống ma túy, phòng cháy, chữa cháy và phong trào Toàn dân bảo vệ an ninh Tổ quốc được tăng cường. Công tác nội chính, tiếp công dân, giải quyết đơn thư, phòng, chống tham nhũng, lãng phí, tiêu cực và cải cách tư pháp được quan tâm thực hiện.</w:t>
      </w:r>
    </w:p>
    <w:p w14:paraId="105439E3">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2. Tồn tại, hạn chế</w:t>
      </w:r>
    </w:p>
    <w:p w14:paraId="105439E4">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Tiến độ thực hiện một số chỉ tiêu kinh tế - xã hội còn chưa đồng đều; một số chỉ tiêu sản xuất nông nghiệp, chăn nuôi, trồng rừng, giải quyết việc làm, đào tạo nghề, du lịch và một số nhiệm vụ khác còn cần tiếp tục tập trung thực hiện trong 3 tháng cuối năm để hoàn thành mục tiêu năm 2026.</w:t>
      </w:r>
    </w:p>
    <w:p w14:paraId="105439E5">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Tiến độ giải ngân vốn đầu tư công còn chậm so với yêu cầu; một số công trình đang trong quá trình hoàn thiện hồ sơ, hợp đồng và tổ chức thi công. Việc triển khai một số dự án, chương trình, chính sách còn gặp khó khăn do địa hình rộng, giao thông khó khăn, nguồn lực hạn chế và yêu cầu thực hiện nhiều thủ tục.</w:t>
      </w:r>
    </w:p>
    <w:p w14:paraId="105439E6">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Công tác quản lý đất đai, nhất là xử lý các trường hợp xây dựng nhà ở, công trình trên đất nông nghiệp, còn một số trường hợp chưa hoàn thiện việc đo đạc, hồ sơ; việc giải quyết cần tiếp tục rà soát, phân loại và thực hiện theo đúng quy định.</w:t>
      </w:r>
    </w:p>
    <w:p w14:paraId="105439E7">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Chất lượng nguồn nhân lực và khả năng tiếp cận, ứng dụng công nghệ số của một bộ phận người dân còn hạn chế. Việc phát triển sản xuất hàng hóa, liên kết tiêu thụ sản phẩm, phát triển dược liệu và du lịch chưa thật sự đồng đều, bền vững.</w:t>
      </w:r>
    </w:p>
    <w:p w14:paraId="105439E8">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3. Nguyên nhân</w:t>
      </w:r>
    </w:p>
    <w:p w14:paraId="105439E9">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a) Nguyên nhân khách quan</w:t>
      </w:r>
      <w:r>
        <w:rPr>
          <w:color w:val="000000" w:themeColor="text1"/>
          <w:sz w:val="28"/>
          <w:szCs w:val="28"/>
          <w14:textFill>
            <w14:solidFill>
              <w14:schemeClr w14:val="tx1"/>
            </w14:solidFill>
          </w14:textFill>
        </w:rPr>
        <w:t>: Địa bàn xã rộng, địa hình miền núi, dân cư phân tán, giao thông đến một số khu vực còn khó khăn; thời tiết diễn biến phức tạp, nguy cơ thiên tai, dịch bệnh và biến động thị trường ảnh hưởng đến sản xuất và đời sống Nhân dân. Nguồn lực đầu tư của địa phương còn hạn chế, trong khi nhu cầu đầu tư kết cấu hạ tầng và thực hiện các chương trình, dự án lớn. Sau sắp xếp đơn vị hành chính, phạm vi quản lý rộng, khối lượng công việc tăng, nhiều nhiệm vụ phải vừa triển khai, vừa tiếp tục kiện toàn tổ chức, hoàn thiện quy trình và phối hợp giữa các cơ quan, đơn vị.</w:t>
      </w:r>
    </w:p>
    <w:p w14:paraId="105439EA">
      <w:pPr>
        <w:ind w:firstLine="720"/>
        <w:jc w:val="both"/>
        <w:rPr>
          <w:color w:val="000000" w:themeColor="text1"/>
          <w:sz w:val="28"/>
          <w:szCs w:val="28"/>
          <w14:textFill>
            <w14:solidFill>
              <w14:schemeClr w14:val="tx1"/>
            </w14:solidFill>
          </w14:textFill>
        </w:rPr>
      </w:pPr>
      <w:r>
        <w:rPr>
          <w:i/>
          <w:iCs/>
          <w:color w:val="000000" w:themeColor="text1"/>
          <w:sz w:val="28"/>
          <w:szCs w:val="28"/>
          <w14:textFill>
            <w14:solidFill>
              <w14:schemeClr w14:val="tx1"/>
            </w14:solidFill>
          </w14:textFill>
        </w:rPr>
        <w:t>b) Nguyên nhân chủ quan:</w:t>
      </w:r>
      <w:r>
        <w:rPr>
          <w:color w:val="000000" w:themeColor="text1"/>
          <w:sz w:val="28"/>
          <w:szCs w:val="28"/>
          <w14:textFill>
            <w14:solidFill>
              <w14:schemeClr w14:val="tx1"/>
            </w14:solidFill>
          </w14:textFill>
        </w:rPr>
        <w:t xml:space="preserve"> Công tác tổ chức thực hiện một số nhiệm vụ có thời điểm chưa thật sự quyết liệt; việc phối hợp, đôn đốc ở một số lĩnh vực chưa đồng đều. Công tác dự báo, rà soát tiến độ và chủ động tháo gỡ một số khó khăn, vướng mắc có lúc chưa kịp thời. Năng lực tổ chức thực hiện của một bộ phận cán bộ, công chức chưa đồng đều; việc ứng dụng công nghệ thông tin, chuyển đổi số trong một số lĩnh vực còn hạn chế. Công tác tuyên truyền, vận động Nhân dân ở một số nội dung cần tiếp tục đổi mới để nâng cao tính chủ động, sự tham gia và đồng thuận trong tổ chức thực hiện.</w:t>
      </w:r>
    </w:p>
    <w:p w14:paraId="105439EB">
      <w:pPr>
        <w:ind w:firstLine="720"/>
        <w:jc w:val="both"/>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V. PHƯƠNG HƯỚNG, NHIỆM VỤ TRỌNG TÂM 3 THÁNG CUỐI NĂM 2026</w:t>
      </w:r>
    </w:p>
    <w:p w14:paraId="105439EC">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Trên cơ sở kết quả đạt được, những tồn tại, hạn chế trong 9 tháng đầu năm, Ban Chấp hành Đảng bộ xã tập trung lãnh đạo, chỉ đạo thực hiện quyết liệt các nhiệm vụ, giải pháp nhằm hoàn thành cao nhất các mục tiêu, chỉ tiêu năm 2026, trọng tâm là:</w:t>
      </w:r>
    </w:p>
    <w:p w14:paraId="55E10ED7">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1. Tiếp tục quán triệt, cụ thể hóa và tổ chức thực hiện nghiêm các nghị quyết, chỉ thị, kết luận của Trung ương, Tỉnh ủy và Nghị quyết Đại hội Đảng bộ xã nhiệm kỳ 2025-2030. Rà soát 33 mục tiêu chủ yếu năm 2026, tập trung các chỉ tiêu còn thấp, chưa thực hiện hoặc đánh giá cuối năm; phân công rõ trách nhiệm, tiến độ, phấn đấu hoàn thành cao nhất Nghị quyết số 10-NQ/ĐU. </w:t>
      </w:r>
    </w:p>
    <w:p w14:paraId="36033D13">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2. Tập trung phát triển sản xuất nông, lâm nghiệp, chăn nuôi, thủy sản; chủ động phòng, chống thiên tai, dịch bệnh. Đẩy nhanh trồng mới rừng, phát triển cây dược liệu, bảo vệ rừng; duy trì và nâng cao chất lượng sản phẩm OCOP, thúc đẩy liên kết sản xuất, tiêu thụ sản phẩm và phát triển HTX, THT. </w:t>
      </w:r>
    </w:p>
    <w:p w14:paraId="354ADC1E">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3. Quyết liệt đẩy nhanh tiến độ các công trình, dự án và giải ngân vốn đầu tư công, nhất là các công trình chuyển tiếp, giao thông nông thôn; kịp thời tháo gỡ khó khăn về thủ tục, mặt bằng, nghiệm thu, thanh toán. Tăng cường quản lý thu, chi ngân sách, thực hành tiết kiệm, chống lãng phí. Tiến độ giải ngân tại thời điểm báo cáo còn là nhiệm vụ cần tập trung trong quý IV. </w:t>
      </w:r>
    </w:p>
    <w:p w14:paraId="13EB390D">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4. Tăng cường quản lý đất đai, tài nguyên, môi trường; đẩy nhanh đo đạc, chỉnh lý hồ sơ địa chính, cấp Giấy chứng nhận quyền sử dụng đất; tiếp tục rà soát, phân loại, xử lý các trường hợp nhà ở, công trình trên đất nông nghiệp; thực hiện tốt bồi thường, giải phóng mặt bằng, không để phát sinh vi phạm mới. </w:t>
      </w:r>
    </w:p>
    <w:p w14:paraId="41F86C82">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5. Thực hiện đồng bộ các nhiệm vụ văn hóa - xã hội; ổn định tổ chức, đội ngũ và cơ sở vật chất các trường học sau sắp xếp, nâng cao chất lượng năm học 2026-2027. Duy trì chất lượng chăm sóc sức khỏe Nhân dân, bảo hiểm y tế; đẩy mạnh đào tạo nghề, giải quyết việc làm, giảm nghèo, bảo hiểm xã hội và an sinh xã hội. Quan tâm bảo tồn bản sắc văn hóa gắn với nâng cao chất lượng dịch vụ, phát triển du lịch. </w:t>
      </w:r>
    </w:p>
    <w:p w14:paraId="72678752">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6. Đẩy mạnh cải cách hành chính, chuyển đổi số và nâng cao hiệu quả hoạt động của chính quyền địa phương; nâng chất lượng giải quyết thủ tục hành chính, hạn chế hồ sơ quá hạn; tăng cường làm sạch, chuẩn hóa, liên thông dữ liệu. Tiếp tục triển khai Sổ tay đảng viên điện tử, cơ sở dữ liệu đảng viên và các nền tảng số phục vụ công tác lãnh đạo, quản lý. </w:t>
      </w:r>
    </w:p>
    <w:p w14:paraId="08BF5BAA">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7. Tăng cường công tác xây dựng Đảng và hệ thống chính trị; nâng cao chất lượng sinh hoạt cấp ủy, chi bộ, quản lý, giáo dục đảng viên; thực hiện tốt công tác cán bộ, bảo vệ chính trị nội bộ, tuyên giáo, dân vận, kiểm tra, giám sát. Tập trung cập nhật cơ sở dữ liệu đảng viên, đánh giá, xếp loại tổ chức đảng, tập thể, cán bộ, đảng viên cuối năm bảo đảm thực chất, đúng quy định. </w:t>
      </w:r>
    </w:p>
    <w:p w14:paraId="302C3A70">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8. Tiếp tục củng cố, nâng cao hiệu quả hoạt động của 12 thôn sau sắp xếp; hoàn thiện phân công nhiệm vụ, quy chế phối hợp giữa chi bộ, Ban Công tác Mặt trận và các chi hội, đoàn thể. Phát huy vai trò của HĐND, MTTQ và các tổ chức chính trị - xã hội trong giám sát, tuyên truyền, vận động, nắm bắt và phản ánh tâm tư, nguyện vọng của Nhân dân.</w:t>
      </w:r>
    </w:p>
    <w:p w14:paraId="2BCA9E93">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9. Giữ vững quốc phòng, an ninh và trật tự an toàn xã hội; duy trì nghiêm chế độ trực sẵn sàng chiến đấu, phòng, chống thiên tai, tìm kiếm cứu nạn, phòng cháy, chữa cháy. Chủ động phòng, chống tội phạm, ma túy; thực hiện mục tiêu “Xã Lùng Phình không ma túy”; chuẩn bị tốt công tác tuyển chọn, gọi công dân nhập ngũ năm 2027. </w:t>
      </w:r>
    </w:p>
    <w:p w14:paraId="1732369C">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10. Tăng cường công tác nội chính, phòng, chống tham nhũng, lãng phí, tiêu cực; thực hiện nghiêm tiếp công dân, đối thoại, tiếp nhận và giải quyết đơn thư, kiến nghị, phản ánh đúng thẩm quyền. Chủ động nắm tình hình cơ sở, giải quyết kịp thời các vấn đề phát sinh, không để hình thành vụ việc phức tạp, kéo dài; củng cố khối đại đoàn kết và đồng thuận trong Nhân dân.</w:t>
      </w:r>
    </w:p>
    <w:p w14:paraId="105439F6">
      <w:pPr>
        <w:ind w:firstLine="720"/>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Trên đây là Báo cáo kết quả thực hiện nhiệm vụ công tác 9 tháng đầu năm, phương hướng, nhiệm vụ 3 tháng cuối năm 2026 của Đảng ủy xã Lùng Phình./.</w:t>
      </w:r>
    </w:p>
    <w:p w14:paraId="105439F7">
      <w:pPr>
        <w:widowControl w:val="0"/>
        <w:kinsoku w:val="0"/>
        <w:overflowPunct w:val="0"/>
        <w:autoSpaceDE w:val="0"/>
        <w:autoSpaceDN w:val="0"/>
        <w:ind w:firstLine="720"/>
        <w:jc w:val="both"/>
        <w:rPr>
          <w:color w:val="000000" w:themeColor="text1"/>
          <w:sz w:val="28"/>
          <w:szCs w:val="28"/>
          <w14:textFill>
            <w14:solidFill>
              <w14:schemeClr w14:val="tx1"/>
            </w14:solidFill>
          </w14:textFill>
        </w:rPr>
      </w:pPr>
    </w:p>
    <w:tbl>
      <w:tblPr>
        <w:tblStyle w:val="8"/>
        <w:tblW w:w="0" w:type="auto"/>
        <w:tblInd w:w="108" w:type="dxa"/>
        <w:tblLayout w:type="fixed"/>
        <w:tblCellMar>
          <w:top w:w="0" w:type="dxa"/>
          <w:left w:w="108" w:type="dxa"/>
          <w:bottom w:w="0" w:type="dxa"/>
          <w:right w:w="108" w:type="dxa"/>
        </w:tblCellMar>
      </w:tblPr>
      <w:tblGrid>
        <w:gridCol w:w="4395"/>
        <w:gridCol w:w="4965"/>
      </w:tblGrid>
      <w:tr w14:paraId="10543A06">
        <w:tblPrEx>
          <w:tblCellMar>
            <w:top w:w="0" w:type="dxa"/>
            <w:left w:w="108" w:type="dxa"/>
            <w:bottom w:w="0" w:type="dxa"/>
            <w:right w:w="108" w:type="dxa"/>
          </w:tblCellMar>
        </w:tblPrEx>
        <w:tc>
          <w:tcPr>
            <w:tcW w:w="4395" w:type="dxa"/>
          </w:tcPr>
          <w:p w14:paraId="105439F8">
            <w:pPr>
              <w:widowControl w:val="0"/>
              <w:kinsoku w:val="0"/>
              <w:overflowPunct w:val="0"/>
              <w:autoSpaceDE w:val="0"/>
              <w:autoSpaceDN w:val="0"/>
              <w:jc w:val="both"/>
              <w:rPr>
                <w:b/>
                <w:color w:val="000000" w:themeColor="text1"/>
                <w:sz w:val="28"/>
                <w:szCs w:val="28"/>
                <w:lang w:val="es-ES"/>
                <w14:textFill>
                  <w14:solidFill>
                    <w14:schemeClr w14:val="tx1"/>
                  </w14:solidFill>
                </w14:textFill>
              </w:rPr>
            </w:pPr>
            <w:r>
              <w:rPr>
                <w:color w:val="000000" w:themeColor="text1"/>
                <w:sz w:val="28"/>
                <w:szCs w:val="28"/>
                <w:u w:val="single"/>
                <w:lang w:val="es-ES"/>
                <w14:textFill>
                  <w14:solidFill>
                    <w14:schemeClr w14:val="tx1"/>
                  </w14:solidFill>
                </w14:textFill>
              </w:rPr>
              <w:t>Nơi nhận</w:t>
            </w:r>
            <w:r>
              <w:rPr>
                <w:color w:val="000000" w:themeColor="text1"/>
                <w:sz w:val="28"/>
                <w:szCs w:val="28"/>
                <w:lang w:val="es-ES"/>
                <w14:textFill>
                  <w14:solidFill>
                    <w14:schemeClr w14:val="tx1"/>
                  </w14:solidFill>
                </w14:textFill>
              </w:rPr>
              <w:t>:</w:t>
            </w:r>
            <w:r>
              <w:rPr>
                <w:b/>
                <w:color w:val="000000" w:themeColor="text1"/>
                <w:sz w:val="28"/>
                <w:szCs w:val="28"/>
                <w:lang w:val="es-ES"/>
                <w14:textFill>
                  <w14:solidFill>
                    <w14:schemeClr w14:val="tx1"/>
                  </w14:solidFill>
                </w14:textFill>
              </w:rPr>
              <w:t xml:space="preserve">                                                                        </w:t>
            </w:r>
          </w:p>
          <w:p w14:paraId="105439F9">
            <w:pPr>
              <w:widowControl w:val="0"/>
              <w:kinsoku w:val="0"/>
              <w:overflowPunct w:val="0"/>
              <w:autoSpaceDE w:val="0"/>
              <w:autoSpaceDN w:val="0"/>
              <w:jc w:val="both"/>
              <w:rPr>
                <w:color w:val="000000" w:themeColor="text1"/>
                <w:lang w:val="es-ES"/>
                <w14:textFill>
                  <w14:solidFill>
                    <w14:schemeClr w14:val="tx1"/>
                  </w14:solidFill>
                </w14:textFill>
              </w:rPr>
            </w:pPr>
            <w:r>
              <w:rPr>
                <w:color w:val="000000" w:themeColor="text1"/>
                <w:lang w:val="es-ES"/>
                <w14:textFill>
                  <w14:solidFill>
                    <w14:schemeClr w14:val="tx1"/>
                  </w14:solidFill>
                </w14:textFill>
              </w:rPr>
              <w:t xml:space="preserve">- Văn phòng Tỉnh ủy; </w:t>
            </w:r>
          </w:p>
          <w:p w14:paraId="105439FA">
            <w:pPr>
              <w:widowControl w:val="0"/>
              <w:kinsoku w:val="0"/>
              <w:overflowPunct w:val="0"/>
              <w:autoSpaceDE w:val="0"/>
              <w:autoSpaceDN w:val="0"/>
              <w:jc w:val="both"/>
              <w:rPr>
                <w:color w:val="000000" w:themeColor="text1"/>
                <w:lang w:val="es-ES"/>
                <w14:textFill>
                  <w14:solidFill>
                    <w14:schemeClr w14:val="tx1"/>
                  </w14:solidFill>
                </w14:textFill>
              </w:rPr>
            </w:pPr>
            <w:r>
              <w:rPr>
                <w:color w:val="000000" w:themeColor="text1"/>
                <w:lang w:val="es-ES"/>
                <w14:textFill>
                  <w14:solidFill>
                    <w14:schemeClr w14:val="tx1"/>
                  </w14:solidFill>
                </w14:textFill>
              </w:rPr>
              <w:t xml:space="preserve">- Ủy ban kiểm tra Tỉnh ủy;                                                                            </w:t>
            </w:r>
          </w:p>
          <w:p w14:paraId="105439FB">
            <w:pPr>
              <w:widowControl w:val="0"/>
              <w:kinsoku w:val="0"/>
              <w:overflowPunct w:val="0"/>
              <w:autoSpaceDE w:val="0"/>
              <w:autoSpaceDN w:val="0"/>
              <w:jc w:val="both"/>
              <w:rPr>
                <w:color w:val="000000" w:themeColor="text1"/>
                <w:lang w:val="es-ES"/>
                <w14:textFill>
                  <w14:solidFill>
                    <w14:schemeClr w14:val="tx1"/>
                  </w14:solidFill>
                </w14:textFill>
              </w:rPr>
            </w:pPr>
            <w:r>
              <w:rPr>
                <w:color w:val="000000" w:themeColor="text1"/>
                <w:lang w:val="es-ES"/>
                <w14:textFill>
                  <w14:solidFill>
                    <w14:schemeClr w14:val="tx1"/>
                  </w14:solidFill>
                </w14:textFill>
              </w:rPr>
              <w:t>- Thường trực ĐU, HĐND, UBND xã;</w:t>
            </w:r>
          </w:p>
          <w:p w14:paraId="105439FC">
            <w:pPr>
              <w:widowControl w:val="0"/>
              <w:kinsoku w:val="0"/>
              <w:overflowPunct w:val="0"/>
              <w:autoSpaceDE w:val="0"/>
              <w:autoSpaceDN w:val="0"/>
              <w:jc w:val="both"/>
              <w:rPr>
                <w:color w:val="000000" w:themeColor="text1"/>
                <w:lang w:val="es-ES"/>
                <w14:textFill>
                  <w14:solidFill>
                    <w14:schemeClr w14:val="tx1"/>
                  </w14:solidFill>
                </w14:textFill>
              </w:rPr>
            </w:pPr>
            <w:r>
              <w:rPr>
                <w:color w:val="000000" w:themeColor="text1"/>
                <w:lang w:val="es-ES"/>
                <w14:textFill>
                  <w14:solidFill>
                    <w14:schemeClr w14:val="tx1"/>
                  </w14:solidFill>
                </w14:textFill>
              </w:rPr>
              <w:t>- Các cơ quan tham mưu, giúp việc ĐU</w:t>
            </w:r>
            <w:r>
              <w:rPr>
                <w:color w:val="000000" w:themeColor="text1"/>
                <w:spacing w:val="-14"/>
                <w:lang w:val="es-ES"/>
                <w14:textFill>
                  <w14:solidFill>
                    <w14:schemeClr w14:val="tx1"/>
                  </w14:solidFill>
                </w14:textFill>
              </w:rPr>
              <w:t>;</w:t>
            </w:r>
          </w:p>
          <w:p w14:paraId="105439FD">
            <w:pPr>
              <w:widowControl w:val="0"/>
              <w:kinsoku w:val="0"/>
              <w:overflowPunct w:val="0"/>
              <w:autoSpaceDE w:val="0"/>
              <w:autoSpaceDN w:val="0"/>
              <w:jc w:val="both"/>
              <w:rPr>
                <w:color w:val="000000" w:themeColor="text1"/>
                <w:lang w:val="es-ES"/>
                <w14:textFill>
                  <w14:solidFill>
                    <w14:schemeClr w14:val="tx1"/>
                  </w14:solidFill>
                </w14:textFill>
              </w:rPr>
            </w:pPr>
            <w:r>
              <w:rPr>
                <w:color w:val="000000" w:themeColor="text1"/>
                <w:lang w:val="es-ES"/>
                <w14:textFill>
                  <w14:solidFill>
                    <w14:schemeClr w14:val="tx1"/>
                  </w14:solidFill>
                </w14:textFill>
              </w:rPr>
              <w:t>- Các Chi bộ trực thuộc Đảng ủy;</w:t>
            </w:r>
          </w:p>
          <w:p w14:paraId="105439FE">
            <w:pPr>
              <w:widowControl w:val="0"/>
              <w:kinsoku w:val="0"/>
              <w:overflowPunct w:val="0"/>
              <w:autoSpaceDE w:val="0"/>
              <w:autoSpaceDN w:val="0"/>
              <w:jc w:val="both"/>
              <w:rPr>
                <w:b/>
                <w:color w:val="000000" w:themeColor="text1"/>
                <w:sz w:val="28"/>
                <w:szCs w:val="28"/>
                <w14:textFill>
                  <w14:solidFill>
                    <w14:schemeClr w14:val="tx1"/>
                  </w14:solidFill>
                </w14:textFill>
              </w:rPr>
            </w:pPr>
            <w:r>
              <w:rPr>
                <w:color w:val="000000" w:themeColor="text1"/>
                <w:lang w:val="es-ES"/>
                <w14:textFill>
                  <w14:solidFill>
                    <w14:schemeClr w14:val="tx1"/>
                  </w14:solidFill>
                </w14:textFill>
              </w:rPr>
              <w:t xml:space="preserve">- Lưu: VP Đảng ủy.                                                                </w:t>
            </w:r>
          </w:p>
        </w:tc>
        <w:tc>
          <w:tcPr>
            <w:tcW w:w="4965" w:type="dxa"/>
          </w:tcPr>
          <w:p w14:paraId="105439FF">
            <w:pPr>
              <w:widowControl w:val="0"/>
              <w:kinsoku w:val="0"/>
              <w:overflowPunct w:val="0"/>
              <w:autoSpaceDE w:val="0"/>
              <w:autoSpaceDN w:val="0"/>
              <w:jc w:val="center"/>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T/M BAN THƯỜNG VỤ</w:t>
            </w:r>
          </w:p>
          <w:p w14:paraId="10543A00">
            <w:pPr>
              <w:widowControl w:val="0"/>
              <w:kinsoku w:val="0"/>
              <w:overflowPunct w:val="0"/>
              <w:autoSpaceDE w:val="0"/>
              <w:autoSpaceDN w:val="0"/>
              <w:rPr>
                <w:b/>
                <w:bCs/>
                <w:color w:val="000000" w:themeColor="text1"/>
                <w:sz w:val="28"/>
                <w:szCs w:val="28"/>
                <w14:textFill>
                  <w14:solidFill>
                    <w14:schemeClr w14:val="tx1"/>
                  </w14:solidFill>
                </w14:textFill>
              </w:rPr>
            </w:pPr>
          </w:p>
          <w:p w14:paraId="10543A01">
            <w:pPr>
              <w:widowControl w:val="0"/>
              <w:kinsoku w:val="0"/>
              <w:overflowPunct w:val="0"/>
              <w:autoSpaceDE w:val="0"/>
              <w:autoSpaceDN w:val="0"/>
              <w:rPr>
                <w:b/>
                <w:bCs/>
                <w:color w:val="000000" w:themeColor="text1"/>
                <w:sz w:val="28"/>
                <w:szCs w:val="28"/>
                <w14:textFill>
                  <w14:solidFill>
                    <w14:schemeClr w14:val="tx1"/>
                  </w14:solidFill>
                </w14:textFill>
              </w:rPr>
            </w:pPr>
          </w:p>
          <w:p w14:paraId="10543A02">
            <w:pPr>
              <w:widowControl w:val="0"/>
              <w:kinsoku w:val="0"/>
              <w:overflowPunct w:val="0"/>
              <w:autoSpaceDE w:val="0"/>
              <w:autoSpaceDN w:val="0"/>
              <w:rPr>
                <w:b/>
                <w:bCs/>
                <w:color w:val="000000" w:themeColor="text1"/>
                <w:sz w:val="28"/>
                <w:szCs w:val="28"/>
                <w14:textFill>
                  <w14:solidFill>
                    <w14:schemeClr w14:val="tx1"/>
                  </w14:solidFill>
                </w14:textFill>
              </w:rPr>
            </w:pPr>
          </w:p>
          <w:p w14:paraId="10543A03">
            <w:pPr>
              <w:widowControl w:val="0"/>
              <w:kinsoku w:val="0"/>
              <w:overflowPunct w:val="0"/>
              <w:autoSpaceDE w:val="0"/>
              <w:autoSpaceDN w:val="0"/>
              <w:rPr>
                <w:b/>
                <w:bCs/>
                <w:color w:val="000000" w:themeColor="text1"/>
                <w:sz w:val="28"/>
                <w:szCs w:val="28"/>
                <w14:textFill>
                  <w14:solidFill>
                    <w14:schemeClr w14:val="tx1"/>
                  </w14:solidFill>
                </w14:textFill>
              </w:rPr>
            </w:pPr>
          </w:p>
          <w:p w14:paraId="10543A04">
            <w:pPr>
              <w:widowControl w:val="0"/>
              <w:kinsoku w:val="0"/>
              <w:overflowPunct w:val="0"/>
              <w:autoSpaceDE w:val="0"/>
              <w:autoSpaceDN w:val="0"/>
              <w:rPr>
                <w:b/>
                <w:bCs/>
                <w:color w:val="000000" w:themeColor="text1"/>
                <w:sz w:val="28"/>
                <w:szCs w:val="28"/>
                <w14:textFill>
                  <w14:solidFill>
                    <w14:schemeClr w14:val="tx1"/>
                  </w14:solidFill>
                </w14:textFill>
              </w:rPr>
            </w:pPr>
          </w:p>
          <w:p w14:paraId="10543A05">
            <w:pPr>
              <w:widowControl w:val="0"/>
              <w:kinsoku w:val="0"/>
              <w:overflowPunct w:val="0"/>
              <w:autoSpaceDE w:val="0"/>
              <w:autoSpaceDN w:val="0"/>
              <w:jc w:val="center"/>
              <w:rPr>
                <w:b/>
                <w:bCs/>
                <w:color w:val="000000" w:themeColor="text1"/>
                <w:sz w:val="28"/>
                <w:szCs w:val="28"/>
                <w14:textFill>
                  <w14:solidFill>
                    <w14:schemeClr w14:val="tx1"/>
                  </w14:solidFill>
                </w14:textFill>
              </w:rPr>
            </w:pPr>
          </w:p>
        </w:tc>
      </w:tr>
    </w:tbl>
    <w:p w14:paraId="10543A07">
      <w:pPr>
        <w:widowControl w:val="0"/>
        <w:kinsoku w:val="0"/>
        <w:overflowPunct w:val="0"/>
        <w:autoSpaceDE w:val="0"/>
        <w:autoSpaceDN w:val="0"/>
        <w:jc w:val="both"/>
        <w:rPr>
          <w:color w:val="000000" w:themeColor="text1"/>
          <w:sz w:val="28"/>
          <w:szCs w:val="28"/>
          <w14:textFill>
            <w14:solidFill>
              <w14:schemeClr w14:val="tx1"/>
            </w14:solidFill>
          </w14:textFill>
        </w:rPr>
      </w:pPr>
    </w:p>
    <w:p w14:paraId="10543A08">
      <w:pPr>
        <w:widowControl w:val="0"/>
        <w:kinsoku w:val="0"/>
        <w:overflowPunct w:val="0"/>
        <w:autoSpaceDE w:val="0"/>
        <w:autoSpaceDN w:val="0"/>
        <w:rPr>
          <w:color w:val="000000" w:themeColor="text1"/>
          <w:sz w:val="28"/>
          <w:szCs w:val="28"/>
          <w14:textFill>
            <w14:solidFill>
              <w14:schemeClr w14:val="tx1"/>
            </w14:solidFill>
          </w14:textFill>
        </w:rPr>
      </w:pPr>
    </w:p>
    <w:p w14:paraId="10543A09">
      <w:pPr>
        <w:widowControl w:val="0"/>
        <w:kinsoku w:val="0"/>
        <w:overflowPunct w:val="0"/>
        <w:autoSpaceDE w:val="0"/>
        <w:autoSpaceDN w:val="0"/>
        <w:jc w:val="both"/>
        <w:rPr>
          <w:color w:val="000000" w:themeColor="text1"/>
          <w:sz w:val="28"/>
          <w:szCs w:val="28"/>
          <w14:textFill>
            <w14:solidFill>
              <w14:schemeClr w14:val="tx1"/>
            </w14:solidFill>
          </w14:textFill>
        </w:rPr>
      </w:pPr>
    </w:p>
    <w:p w14:paraId="10543A0A">
      <w:pPr>
        <w:widowControl w:val="0"/>
        <w:kinsoku w:val="0"/>
        <w:overflowPunct w:val="0"/>
        <w:autoSpaceDE w:val="0"/>
        <w:autoSpaceDN w:val="0"/>
        <w:jc w:val="both"/>
        <w:rPr>
          <w:color w:val="000000" w:themeColor="text1"/>
          <w:sz w:val="28"/>
          <w:szCs w:val="28"/>
          <w14:textFill>
            <w14:solidFill>
              <w14:schemeClr w14:val="tx1"/>
            </w14:solidFill>
          </w14:textFill>
        </w:rPr>
      </w:pPr>
    </w:p>
    <w:p w14:paraId="10543A0B">
      <w:pPr>
        <w:widowControl w:val="0"/>
        <w:kinsoku w:val="0"/>
        <w:overflowPunct w:val="0"/>
        <w:autoSpaceDE w:val="0"/>
        <w:autoSpaceDN w:val="0"/>
        <w:rPr>
          <w:color w:val="000000" w:themeColor="text1"/>
          <w14:textFill>
            <w14:solidFill>
              <w14:schemeClr w14:val="tx1"/>
            </w14:solidFill>
          </w14:textFill>
        </w:rPr>
      </w:pPr>
    </w:p>
    <w:sectPr>
      <w:headerReference r:id="rId4" w:type="default"/>
      <w:headerReference r:id="rId5" w:type="even"/>
      <w:footerReference r:id="rId6" w:type="even"/>
      <w:pgSz w:w="11906" w:h="16838"/>
      <w:pgMar w:top="1138" w:right="851" w:bottom="1138" w:left="1701" w:header="397" w:footer="284" w:gutter="0"/>
      <w:pgNumType w:start="1"/>
      <w:cols w:space="720" w:num="1"/>
      <w:formProt w:val="0"/>
      <w:titlePg/>
      <w:docGrid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Noto Sans Devanagari">
    <w:altName w:val="Segoe Print"/>
    <w:panose1 w:val="00000000000000000000"/>
    <w:charset w:val="00"/>
    <w:family w:val="swiss"/>
    <w:pitch w:val="default"/>
    <w:sig w:usb0="00000000" w:usb1="00000000" w:usb2="00000000" w:usb3="00000000" w:csb0="00000001" w:csb1="00000000"/>
  </w:font>
  <w:font w:name="TimesNewRomanPS-ItalicMT">
    <w:altName w:val="Times New Roman"/>
    <w:panose1 w:val="00000000000000000000"/>
    <w:charset w:val="01"/>
    <w:family w:val="roman"/>
    <w:pitch w:val="default"/>
    <w:sig w:usb0="00000000" w:usb1="00000000" w:usb2="00000000" w:usb3="00000000" w:csb0="00000000" w:csb1="00000000"/>
  </w:font>
  <w:font w:name="Carlito">
    <w:altName w:val="Calibri"/>
    <w:panose1 w:val="00000000000000000000"/>
    <w:charset w:val="01"/>
    <w:family w:val="roman"/>
    <w:pitch w:val="default"/>
    <w:sig w:usb0="00000000" w:usb1="00000000" w:usb2="00000000" w:usb3="00000000" w:csb0="00000000" w:csb1="00000000"/>
  </w:font>
  <w:font w:name="Noto Sans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nArialH">
    <w:panose1 w:val="020B7200000000000000"/>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43A10">
    <w:pPr>
      <w:pStyle w:val="19"/>
    </w:pPr>
    <w: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10543A19">
                          <w:pPr>
                            <w:pStyle w:val="19"/>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wps:txbx>
                    <wps:bodyPr lIns="0" tIns="0" rIns="0" bIns="0" anchor="t">
                      <a:spAutoFit/>
                    </wps:bodyPr>
                  </wps:wsp>
                </a:graphicData>
              </a:graphic>
            </wp:anchor>
          </w:drawing>
        </mc:Choice>
        <mc:Fallback>
          <w:pict>
            <v:rect id="Frame3" o:spid="_x0000_s1026" o:spt="1" style="position:absolute;left:0pt;margin-top:0.05pt;height:1.15pt;width:1.15pt;mso-position-horizontal:center;mso-position-horizontal-relative:margin;mso-wrap-distance-bottom:0pt;mso-wrap-distance-left:0pt;mso-wrap-distance-right:0pt;mso-wrap-distance-top:0pt;z-index:-251656192;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8gFRQc4AAAABAQAADwAAAAAA&#10;AAABACAAAAAiAAAAZHJzL2Rvd25yZXYueG1sUEsBAhQAFAAAAAgAh07iQBgj53mrAQAAfwMAAA4A&#10;AAAAAAAAAQAgAAAAHQEAAGRycy9lMm9Eb2MueG1sUEsFBgAAAAAGAAYAWQEAADoFAAAAAA==&#10;">
              <v:fill on="f" focussize="0,0"/>
              <v:stroke on="f" weight="0pt"/>
              <v:imagedata o:title=""/>
              <o:lock v:ext="edit" aspectratio="f"/>
              <v:textbox inset="0mm,0mm,0mm,0mm" style="mso-fit-shape-to-text:t;">
                <w:txbxContent>
                  <w:p w14:paraId="10543A19">
                    <w:pPr>
                      <w:pStyle w:val="19"/>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v:textbox>
              <w10:wrap type="squar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6C8F288">
      <w:pPr>
        <w:ind w:firstLine="993"/>
        <w:jc w:val="both"/>
        <w:rPr>
          <w:color w:val="auto"/>
          <w:sz w:val="20"/>
          <w:szCs w:val="20"/>
        </w:rPr>
      </w:pPr>
      <w:r>
        <w:rPr>
          <w:rStyle w:val="20"/>
          <w:color w:val="auto"/>
          <w:sz w:val="20"/>
          <w:szCs w:val="20"/>
        </w:rPr>
        <w:footnoteRef/>
      </w:r>
      <w:r>
        <w:rPr>
          <w:color w:val="auto"/>
          <w:sz w:val="20"/>
          <w:szCs w:val="20"/>
        </w:rPr>
        <w:t xml:space="preserve"> HĐND giám sát 01 cuộc về thực hiện Dự án 6 </w:t>
      </w:r>
      <w:r>
        <w:rPr>
          <w:bCs/>
          <w:color w:val="auto"/>
          <w:sz w:val="20"/>
          <w:szCs w:val="20"/>
        </w:rPr>
        <w:t>“Bảo tồn, phát huy giá trị văn hóa truyền thống tốt đẹp của các dân tộc thiểu số gắn với phát triển du lịch” năm 2025 đối với Phòng Văn hóa - Xã hội xã Lùng Phình.</w:t>
      </w:r>
      <w:r>
        <w:rPr>
          <w:color w:val="auto"/>
          <w:sz w:val="20"/>
          <w:szCs w:val="20"/>
        </w:rPr>
        <w:t xml:space="preserve"> Thường trực HĐND xã đã tổ chức 02 cuộc giám sát trong đó cuộc giám sát về việc thực hiện công tác bầu cử đại biểu Quốc hội khóa XVI và đại biểu HĐND các cấp nhiệm kỳ 2026 - 2031 trên địa bàn xã; Giám sát về việc thực hiện kế hoạch đầu tư công năm 2025 trên địa bàn xã; thực hiện 01 cuộc khảo sát về thực hiện Nghị quyết 57-NQ/TW về phát triển khoa học, công nghệ, đổi mới, sáng tạo và chuyển đổi số đối với Trung tâm phục vụ hành chính công. Ban Kinh tế - Ngân sách tổ chức giám sát việc quản lý sử dụng kinh phí bầu cử đại biểu Quốc hội và HĐND các cấp nhiệm kỳ 2026 - 2031; khảo sát việc thực hiện các chỉ tiêu phát triển kinh tế, việc thực hiện nghị quyết HĐND xã về phân bổ ngân sách địa phương. Ban Văn hóa - xã hội tổ chức giám sát việc giám sát chuyên đề về công tác chăm sóc sức khỏe cho người cao tuổi năm 2025 trên địa bàn xã; khảo sát việc thực hiện chi trả chế độ chính sách cho học sinh tại một số điểm trường.</w:t>
      </w:r>
    </w:p>
    <w:p w14:paraId="060D0E65">
      <w:pPr>
        <w:jc w:val="both"/>
        <w:rPr>
          <w:color w:val="auto"/>
          <w:sz w:val="20"/>
          <w:szCs w:val="20"/>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43A0F">
    <w:pPr>
      <w:pStyle w:val="22"/>
      <w:rPr>
        <w:rFonts w:ascii=".VnArialH" w:hAnsi=".VnArialH"/>
        <w:sz w:val="12"/>
      </w:rPr>
    </w:pPr>
    <w:r>
      <w:rPr>
        <w:rFonts w:ascii=".VnArialH" w:hAnsi=".VnArialH"/>
        <w:sz w:val="12"/>
      </w:rP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10543A17">
                          <w:pPr>
                            <w:pStyle w:val="22"/>
                            <w:rPr>
                              <w:rStyle w:val="27"/>
                            </w:rPr>
                          </w:pPr>
                          <w:r>
                            <w:rPr>
                              <w:rStyle w:val="27"/>
                            </w:rPr>
                            <w:fldChar w:fldCharType="begin"/>
                          </w:r>
                          <w:r>
                            <w:rPr>
                              <w:rStyle w:val="27"/>
                            </w:rPr>
                            <w:instrText xml:space="preserve"> PAGE </w:instrText>
                          </w:r>
                          <w:r>
                            <w:rPr>
                              <w:rStyle w:val="27"/>
                            </w:rPr>
                            <w:fldChar w:fldCharType="separate"/>
                          </w:r>
                          <w:r>
                            <w:rPr>
                              <w:rStyle w:val="27"/>
                            </w:rPr>
                            <w:t>18</w:t>
                          </w:r>
                          <w:r>
                            <w:rPr>
                              <w:rStyle w:val="27"/>
                            </w:rPr>
                            <w:fldChar w:fldCharType="end"/>
                          </w:r>
                        </w:p>
                      </w:txbxContent>
                    </wps:txbx>
                    <wps:bodyPr lIns="0" tIns="0" rIns="0" bIns="0" anchor="t">
                      <a:spAutoFit/>
                    </wps:bodyPr>
                  </wps:wsp>
                </a:graphicData>
              </a:graphic>
            </wp:anchor>
          </w:drawing>
        </mc:Choice>
        <mc:Fallback>
          <w:pict>
            <v:rect id="Frame2" o:spid="_x0000_s1026" o:spt="1" style="position:absolute;left:0pt;margin-top:4.95pt;height:17.15pt;width:15.05pt;mso-position-horizontal:center;mso-position-horizontal-relative:margin;mso-wrap-distance-bottom:0pt;mso-wrap-distance-left:0pt;mso-wrap-distance-right:0pt;mso-wrap-distance-top:0pt;z-index:-251656192;mso-width-relative:page;mso-height-relative:page;" filled="f" stroked="f" coordsize="21600,21600" o:allowincell="f" o:gfxdata="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25tQKtAAAAAEAQAA&#10;DwAAAAAAAAABACAAAAAiAAAAZHJzL2Rvd25yZXYueG1sUEsBAhQAFAAAAAgAh07iQC7+8WavAQAA&#10;gQMAAA4AAAAAAAAAAQAgAAAAHwEAAGRycy9lMm9Eb2MueG1sUEsFBgAAAAAGAAYAWQEAAEAFAAAA&#10;AA==&#10;">
              <v:fill on="f" focussize="0,0"/>
              <v:stroke on="f" weight="0pt"/>
              <v:imagedata o:title=""/>
              <o:lock v:ext="edit" aspectratio="f"/>
              <v:textbox inset="0mm,0mm,0mm,0mm" style="mso-fit-shape-to-text:t;">
                <w:txbxContent>
                  <w:p w14:paraId="10543A17">
                    <w:pPr>
                      <w:pStyle w:val="22"/>
                      <w:rPr>
                        <w:rStyle w:val="27"/>
                      </w:rPr>
                    </w:pPr>
                    <w:r>
                      <w:rPr>
                        <w:rStyle w:val="27"/>
                      </w:rPr>
                      <w:fldChar w:fldCharType="begin"/>
                    </w:r>
                    <w:r>
                      <w:rPr>
                        <w:rStyle w:val="27"/>
                      </w:rPr>
                      <w:instrText xml:space="preserve"> PAGE </w:instrText>
                    </w:r>
                    <w:r>
                      <w:rPr>
                        <w:rStyle w:val="27"/>
                      </w:rPr>
                      <w:fldChar w:fldCharType="separate"/>
                    </w:r>
                    <w:r>
                      <w:rPr>
                        <w:rStyle w:val="27"/>
                      </w:rPr>
                      <w:t>18</w:t>
                    </w:r>
                    <w:r>
                      <w:rPr>
                        <w:rStyle w:val="27"/>
                      </w:rPr>
                      <w:fldChar w:fldCharType="end"/>
                    </w:r>
                  </w:p>
                </w:txbxContent>
              </v:textbox>
              <w10:wrap type="squar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43A0E">
    <w:pPr>
      <w:pStyle w:val="22"/>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10543A18">
                          <w:pPr>
                            <w:pStyle w:val="22"/>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wps:txbx>
                    <wps:bodyPr lIns="0" tIns="0" rIns="0" bIns="0" anchor="t">
                      <a:spAutoFit/>
                    </wps:bodyPr>
                  </wps:wsp>
                </a:graphicData>
              </a:graphic>
            </wp:anchor>
          </w:drawing>
        </mc:Choice>
        <mc:Fallback>
          <w:pict>
            <v:rect id="Frame1"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AVFBzgAAAAEBAAAPAAAAAAAA&#10;AAEAIAAAACIAAABkcnMvZG93bnJldi54bWxQSwECFAAUAAAACACHTuJAuQmuNaoBAAB/AwAADgAA&#10;AAAAAAABACAAAAAdAQAAZHJzL2Uyb0RvYy54bWxQSwUGAAAAAAYABgBZAQAAOQUAAAAA&#10;">
              <v:fill on="f" focussize="0,0"/>
              <v:stroke on="f" weight="0pt"/>
              <v:imagedata o:title=""/>
              <o:lock v:ext="edit" aspectratio="f"/>
              <v:textbox inset="0mm,0mm,0mm,0mm" style="mso-fit-shape-to-text:t;">
                <w:txbxContent>
                  <w:p w14:paraId="10543A18">
                    <w:pPr>
                      <w:pStyle w:val="22"/>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v:textbox>
              <w10:wrap type="squar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cumentProtection w:enforcement="0"/>
  <w:defaultTabStop w:val="720"/>
  <w:autoHyphenation/>
  <w:noPunctuationKerning w:val="1"/>
  <w:characterSpacingControl w:val="doNotCompress"/>
  <w:footnotePr>
    <w:footnote w:id="2"/>
    <w:footnote w:id="3"/>
  </w:foot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E67"/>
    <w:rsid w:val="0000093B"/>
    <w:rsid w:val="00001D3C"/>
    <w:rsid w:val="0000473D"/>
    <w:rsid w:val="00012AE7"/>
    <w:rsid w:val="00013A39"/>
    <w:rsid w:val="000149F4"/>
    <w:rsid w:val="00016CBB"/>
    <w:rsid w:val="000276A4"/>
    <w:rsid w:val="00030548"/>
    <w:rsid w:val="00035A19"/>
    <w:rsid w:val="00045D48"/>
    <w:rsid w:val="00051B95"/>
    <w:rsid w:val="00056688"/>
    <w:rsid w:val="000605DE"/>
    <w:rsid w:val="00061493"/>
    <w:rsid w:val="00061F6C"/>
    <w:rsid w:val="000654B6"/>
    <w:rsid w:val="00070586"/>
    <w:rsid w:val="0007150F"/>
    <w:rsid w:val="00074666"/>
    <w:rsid w:val="00075CC9"/>
    <w:rsid w:val="00084225"/>
    <w:rsid w:val="00084751"/>
    <w:rsid w:val="00084E92"/>
    <w:rsid w:val="00092A74"/>
    <w:rsid w:val="000B32C9"/>
    <w:rsid w:val="000B5AB4"/>
    <w:rsid w:val="000C2622"/>
    <w:rsid w:val="000C280F"/>
    <w:rsid w:val="000C79DF"/>
    <w:rsid w:val="000D017A"/>
    <w:rsid w:val="000D07E3"/>
    <w:rsid w:val="000D119F"/>
    <w:rsid w:val="000D2367"/>
    <w:rsid w:val="000D4208"/>
    <w:rsid w:val="000D6899"/>
    <w:rsid w:val="000D7DC2"/>
    <w:rsid w:val="000E4236"/>
    <w:rsid w:val="000E6189"/>
    <w:rsid w:val="000F4793"/>
    <w:rsid w:val="001012C7"/>
    <w:rsid w:val="00104B96"/>
    <w:rsid w:val="0010642C"/>
    <w:rsid w:val="001075A8"/>
    <w:rsid w:val="00110C5C"/>
    <w:rsid w:val="001119BD"/>
    <w:rsid w:val="001229EA"/>
    <w:rsid w:val="00130E93"/>
    <w:rsid w:val="001310A0"/>
    <w:rsid w:val="00133532"/>
    <w:rsid w:val="00140E7D"/>
    <w:rsid w:val="00160FE2"/>
    <w:rsid w:val="00163D33"/>
    <w:rsid w:val="001652EB"/>
    <w:rsid w:val="00167DD5"/>
    <w:rsid w:val="00170E29"/>
    <w:rsid w:val="001A0A30"/>
    <w:rsid w:val="001A0AD5"/>
    <w:rsid w:val="001A6968"/>
    <w:rsid w:val="001B3715"/>
    <w:rsid w:val="001B372D"/>
    <w:rsid w:val="001C7396"/>
    <w:rsid w:val="001D0806"/>
    <w:rsid w:val="001D0E7B"/>
    <w:rsid w:val="001D1053"/>
    <w:rsid w:val="001D659D"/>
    <w:rsid w:val="001D6BD4"/>
    <w:rsid w:val="001E24A1"/>
    <w:rsid w:val="001E49B5"/>
    <w:rsid w:val="001E73FA"/>
    <w:rsid w:val="002078E3"/>
    <w:rsid w:val="00207DE7"/>
    <w:rsid w:val="002129FC"/>
    <w:rsid w:val="00216DEB"/>
    <w:rsid w:val="002262F3"/>
    <w:rsid w:val="00242B3C"/>
    <w:rsid w:val="00243473"/>
    <w:rsid w:val="0024707B"/>
    <w:rsid w:val="00250FA3"/>
    <w:rsid w:val="00253EAF"/>
    <w:rsid w:val="00253ECB"/>
    <w:rsid w:val="00255B2E"/>
    <w:rsid w:val="00265B4A"/>
    <w:rsid w:val="002774CB"/>
    <w:rsid w:val="00281BA3"/>
    <w:rsid w:val="002A7759"/>
    <w:rsid w:val="002B3A60"/>
    <w:rsid w:val="002B4A0E"/>
    <w:rsid w:val="002B570B"/>
    <w:rsid w:val="002B58E7"/>
    <w:rsid w:val="002B5D25"/>
    <w:rsid w:val="002B71C0"/>
    <w:rsid w:val="002C1BBE"/>
    <w:rsid w:val="002C2480"/>
    <w:rsid w:val="002D30F0"/>
    <w:rsid w:val="002D4617"/>
    <w:rsid w:val="002E26E0"/>
    <w:rsid w:val="00302283"/>
    <w:rsid w:val="003034EA"/>
    <w:rsid w:val="003052F7"/>
    <w:rsid w:val="003109B4"/>
    <w:rsid w:val="0031790F"/>
    <w:rsid w:val="00334B57"/>
    <w:rsid w:val="0035393B"/>
    <w:rsid w:val="00361120"/>
    <w:rsid w:val="003856A3"/>
    <w:rsid w:val="00391C94"/>
    <w:rsid w:val="0039217D"/>
    <w:rsid w:val="00393E2F"/>
    <w:rsid w:val="003A6927"/>
    <w:rsid w:val="003B3209"/>
    <w:rsid w:val="003B5274"/>
    <w:rsid w:val="003C0838"/>
    <w:rsid w:val="003C18CF"/>
    <w:rsid w:val="003C18FE"/>
    <w:rsid w:val="003E20BD"/>
    <w:rsid w:val="003E43D8"/>
    <w:rsid w:val="003E4737"/>
    <w:rsid w:val="003F1382"/>
    <w:rsid w:val="003F6D30"/>
    <w:rsid w:val="00411ED6"/>
    <w:rsid w:val="00413956"/>
    <w:rsid w:val="0041402B"/>
    <w:rsid w:val="0041512F"/>
    <w:rsid w:val="0041569A"/>
    <w:rsid w:val="0041770F"/>
    <w:rsid w:val="004230C9"/>
    <w:rsid w:val="00425FD6"/>
    <w:rsid w:val="00427514"/>
    <w:rsid w:val="00432F04"/>
    <w:rsid w:val="004402AA"/>
    <w:rsid w:val="00442F5C"/>
    <w:rsid w:val="004461B3"/>
    <w:rsid w:val="004478D6"/>
    <w:rsid w:val="0045226A"/>
    <w:rsid w:val="0045648B"/>
    <w:rsid w:val="00460D1A"/>
    <w:rsid w:val="004678E2"/>
    <w:rsid w:val="00471337"/>
    <w:rsid w:val="00473831"/>
    <w:rsid w:val="00476928"/>
    <w:rsid w:val="00482DC4"/>
    <w:rsid w:val="00482F08"/>
    <w:rsid w:val="00496D7C"/>
    <w:rsid w:val="00497322"/>
    <w:rsid w:val="004A1E42"/>
    <w:rsid w:val="004A2611"/>
    <w:rsid w:val="004A31B2"/>
    <w:rsid w:val="004A418E"/>
    <w:rsid w:val="004A6294"/>
    <w:rsid w:val="004A7DEC"/>
    <w:rsid w:val="004B6BE0"/>
    <w:rsid w:val="004D1D11"/>
    <w:rsid w:val="004D518C"/>
    <w:rsid w:val="004F4467"/>
    <w:rsid w:val="004F60CF"/>
    <w:rsid w:val="004F610D"/>
    <w:rsid w:val="00510AC7"/>
    <w:rsid w:val="00511595"/>
    <w:rsid w:val="00527203"/>
    <w:rsid w:val="0052728F"/>
    <w:rsid w:val="00530097"/>
    <w:rsid w:val="00532FD1"/>
    <w:rsid w:val="00534B64"/>
    <w:rsid w:val="0054279C"/>
    <w:rsid w:val="00544CCB"/>
    <w:rsid w:val="00545C5F"/>
    <w:rsid w:val="005469AB"/>
    <w:rsid w:val="00555F55"/>
    <w:rsid w:val="00561264"/>
    <w:rsid w:val="00563E42"/>
    <w:rsid w:val="005658D1"/>
    <w:rsid w:val="00571C25"/>
    <w:rsid w:val="00582A57"/>
    <w:rsid w:val="005A00BA"/>
    <w:rsid w:val="005B01B0"/>
    <w:rsid w:val="005B29D5"/>
    <w:rsid w:val="005B2C65"/>
    <w:rsid w:val="005B307F"/>
    <w:rsid w:val="005D71F9"/>
    <w:rsid w:val="005E18C0"/>
    <w:rsid w:val="005E3D83"/>
    <w:rsid w:val="005E3EA2"/>
    <w:rsid w:val="005E47E2"/>
    <w:rsid w:val="005E6E55"/>
    <w:rsid w:val="005F5C06"/>
    <w:rsid w:val="005F6DED"/>
    <w:rsid w:val="006053C6"/>
    <w:rsid w:val="0062251D"/>
    <w:rsid w:val="00624AC6"/>
    <w:rsid w:val="00626636"/>
    <w:rsid w:val="00637BC5"/>
    <w:rsid w:val="0064402D"/>
    <w:rsid w:val="0064632F"/>
    <w:rsid w:val="006502FB"/>
    <w:rsid w:val="00657E0E"/>
    <w:rsid w:val="006657AB"/>
    <w:rsid w:val="0067783E"/>
    <w:rsid w:val="00680ECC"/>
    <w:rsid w:val="00687115"/>
    <w:rsid w:val="006924F3"/>
    <w:rsid w:val="00693792"/>
    <w:rsid w:val="00696680"/>
    <w:rsid w:val="006A5419"/>
    <w:rsid w:val="006A7D1C"/>
    <w:rsid w:val="006B6708"/>
    <w:rsid w:val="006C402C"/>
    <w:rsid w:val="006D57FE"/>
    <w:rsid w:val="006E158B"/>
    <w:rsid w:val="006E25C9"/>
    <w:rsid w:val="006E55A3"/>
    <w:rsid w:val="006E61FC"/>
    <w:rsid w:val="006F2C72"/>
    <w:rsid w:val="006F5FED"/>
    <w:rsid w:val="007018D6"/>
    <w:rsid w:val="007074B5"/>
    <w:rsid w:val="0071240C"/>
    <w:rsid w:val="00712896"/>
    <w:rsid w:val="00714AD9"/>
    <w:rsid w:val="007167B1"/>
    <w:rsid w:val="0073100C"/>
    <w:rsid w:val="00732DEA"/>
    <w:rsid w:val="007372AF"/>
    <w:rsid w:val="00763173"/>
    <w:rsid w:val="00774F69"/>
    <w:rsid w:val="0077514B"/>
    <w:rsid w:val="007755ED"/>
    <w:rsid w:val="00777130"/>
    <w:rsid w:val="00781A36"/>
    <w:rsid w:val="007838E6"/>
    <w:rsid w:val="00797954"/>
    <w:rsid w:val="007979C8"/>
    <w:rsid w:val="007A2521"/>
    <w:rsid w:val="007A383C"/>
    <w:rsid w:val="007A3B67"/>
    <w:rsid w:val="007A6CF3"/>
    <w:rsid w:val="007B2ACE"/>
    <w:rsid w:val="007C215B"/>
    <w:rsid w:val="007C2EAF"/>
    <w:rsid w:val="007C7080"/>
    <w:rsid w:val="007D039E"/>
    <w:rsid w:val="007D0A3D"/>
    <w:rsid w:val="007D42E9"/>
    <w:rsid w:val="007D71C2"/>
    <w:rsid w:val="007E00C0"/>
    <w:rsid w:val="007E2137"/>
    <w:rsid w:val="007E7E8E"/>
    <w:rsid w:val="00804309"/>
    <w:rsid w:val="0080750F"/>
    <w:rsid w:val="008156ED"/>
    <w:rsid w:val="008170FE"/>
    <w:rsid w:val="00817378"/>
    <w:rsid w:val="00824A9A"/>
    <w:rsid w:val="00824AB4"/>
    <w:rsid w:val="00824CF2"/>
    <w:rsid w:val="00831926"/>
    <w:rsid w:val="008414B1"/>
    <w:rsid w:val="00856F51"/>
    <w:rsid w:val="00867AC3"/>
    <w:rsid w:val="0087712F"/>
    <w:rsid w:val="00880180"/>
    <w:rsid w:val="00882943"/>
    <w:rsid w:val="008914ED"/>
    <w:rsid w:val="008973C8"/>
    <w:rsid w:val="008A04F7"/>
    <w:rsid w:val="008A4CC6"/>
    <w:rsid w:val="008C4393"/>
    <w:rsid w:val="008D0A0D"/>
    <w:rsid w:val="008D192A"/>
    <w:rsid w:val="008E7967"/>
    <w:rsid w:val="008F6B43"/>
    <w:rsid w:val="00904199"/>
    <w:rsid w:val="00904B02"/>
    <w:rsid w:val="0090562C"/>
    <w:rsid w:val="009135F6"/>
    <w:rsid w:val="009162B7"/>
    <w:rsid w:val="00921ED8"/>
    <w:rsid w:val="0092798B"/>
    <w:rsid w:val="00930031"/>
    <w:rsid w:val="009303C7"/>
    <w:rsid w:val="0093050B"/>
    <w:rsid w:val="0093711C"/>
    <w:rsid w:val="009474AE"/>
    <w:rsid w:val="009479DF"/>
    <w:rsid w:val="009516CA"/>
    <w:rsid w:val="00953EFA"/>
    <w:rsid w:val="00965531"/>
    <w:rsid w:val="00965DA4"/>
    <w:rsid w:val="0097527F"/>
    <w:rsid w:val="0098380B"/>
    <w:rsid w:val="00984212"/>
    <w:rsid w:val="00986F64"/>
    <w:rsid w:val="0098730B"/>
    <w:rsid w:val="00987FE7"/>
    <w:rsid w:val="009A6CC9"/>
    <w:rsid w:val="009A7D8C"/>
    <w:rsid w:val="009D0D73"/>
    <w:rsid w:val="009D1F36"/>
    <w:rsid w:val="009D5CCB"/>
    <w:rsid w:val="009E3105"/>
    <w:rsid w:val="009E4BF2"/>
    <w:rsid w:val="009E4DDA"/>
    <w:rsid w:val="009F25A1"/>
    <w:rsid w:val="00A0575F"/>
    <w:rsid w:val="00A06249"/>
    <w:rsid w:val="00A1460A"/>
    <w:rsid w:val="00A1473F"/>
    <w:rsid w:val="00A17FD4"/>
    <w:rsid w:val="00A24FEC"/>
    <w:rsid w:val="00A30C00"/>
    <w:rsid w:val="00A37059"/>
    <w:rsid w:val="00A407F7"/>
    <w:rsid w:val="00A61AF3"/>
    <w:rsid w:val="00A62FEE"/>
    <w:rsid w:val="00A63251"/>
    <w:rsid w:val="00A655F9"/>
    <w:rsid w:val="00A65EEE"/>
    <w:rsid w:val="00A70558"/>
    <w:rsid w:val="00A71AD1"/>
    <w:rsid w:val="00A74290"/>
    <w:rsid w:val="00A8514D"/>
    <w:rsid w:val="00A9369E"/>
    <w:rsid w:val="00AB23BC"/>
    <w:rsid w:val="00AB3E7D"/>
    <w:rsid w:val="00AB76E2"/>
    <w:rsid w:val="00AC226F"/>
    <w:rsid w:val="00AC251B"/>
    <w:rsid w:val="00AC2ED3"/>
    <w:rsid w:val="00AD0B2B"/>
    <w:rsid w:val="00AD17C6"/>
    <w:rsid w:val="00AD2DAF"/>
    <w:rsid w:val="00AE1964"/>
    <w:rsid w:val="00AF0996"/>
    <w:rsid w:val="00AF19F2"/>
    <w:rsid w:val="00B02723"/>
    <w:rsid w:val="00B049F6"/>
    <w:rsid w:val="00B12257"/>
    <w:rsid w:val="00B173FD"/>
    <w:rsid w:val="00B1750A"/>
    <w:rsid w:val="00B2098E"/>
    <w:rsid w:val="00B22E5E"/>
    <w:rsid w:val="00B3549F"/>
    <w:rsid w:val="00B37730"/>
    <w:rsid w:val="00B46B83"/>
    <w:rsid w:val="00B50012"/>
    <w:rsid w:val="00B55C8A"/>
    <w:rsid w:val="00B63CC7"/>
    <w:rsid w:val="00B65336"/>
    <w:rsid w:val="00B80400"/>
    <w:rsid w:val="00BA0E09"/>
    <w:rsid w:val="00BA581C"/>
    <w:rsid w:val="00BA7569"/>
    <w:rsid w:val="00BA7F24"/>
    <w:rsid w:val="00BB3023"/>
    <w:rsid w:val="00BB6227"/>
    <w:rsid w:val="00BC73DE"/>
    <w:rsid w:val="00BE5B05"/>
    <w:rsid w:val="00BF65D5"/>
    <w:rsid w:val="00C05F74"/>
    <w:rsid w:val="00C06631"/>
    <w:rsid w:val="00C12FCB"/>
    <w:rsid w:val="00C14B8F"/>
    <w:rsid w:val="00C22311"/>
    <w:rsid w:val="00C24239"/>
    <w:rsid w:val="00C30DF3"/>
    <w:rsid w:val="00C34A96"/>
    <w:rsid w:val="00C369E0"/>
    <w:rsid w:val="00C4462A"/>
    <w:rsid w:val="00C55885"/>
    <w:rsid w:val="00C67B8E"/>
    <w:rsid w:val="00C74096"/>
    <w:rsid w:val="00C76A31"/>
    <w:rsid w:val="00C87419"/>
    <w:rsid w:val="00C92F57"/>
    <w:rsid w:val="00C97424"/>
    <w:rsid w:val="00CA0366"/>
    <w:rsid w:val="00CB45E5"/>
    <w:rsid w:val="00CD0056"/>
    <w:rsid w:val="00CD0836"/>
    <w:rsid w:val="00CD1193"/>
    <w:rsid w:val="00CD4DCF"/>
    <w:rsid w:val="00CF0971"/>
    <w:rsid w:val="00CF3D36"/>
    <w:rsid w:val="00CF6A06"/>
    <w:rsid w:val="00D01986"/>
    <w:rsid w:val="00D01B98"/>
    <w:rsid w:val="00D02671"/>
    <w:rsid w:val="00D02F5B"/>
    <w:rsid w:val="00D03164"/>
    <w:rsid w:val="00D04FF1"/>
    <w:rsid w:val="00D079A4"/>
    <w:rsid w:val="00D1175D"/>
    <w:rsid w:val="00D24C27"/>
    <w:rsid w:val="00D259EA"/>
    <w:rsid w:val="00D27DB2"/>
    <w:rsid w:val="00D36514"/>
    <w:rsid w:val="00D37804"/>
    <w:rsid w:val="00D44E1A"/>
    <w:rsid w:val="00D45565"/>
    <w:rsid w:val="00D460D1"/>
    <w:rsid w:val="00D52887"/>
    <w:rsid w:val="00D5498F"/>
    <w:rsid w:val="00D6051E"/>
    <w:rsid w:val="00D70AEA"/>
    <w:rsid w:val="00D7136F"/>
    <w:rsid w:val="00D72C52"/>
    <w:rsid w:val="00D81721"/>
    <w:rsid w:val="00D85DB2"/>
    <w:rsid w:val="00D868A4"/>
    <w:rsid w:val="00D91CEA"/>
    <w:rsid w:val="00D9221C"/>
    <w:rsid w:val="00D92B4B"/>
    <w:rsid w:val="00D92F80"/>
    <w:rsid w:val="00DB62A5"/>
    <w:rsid w:val="00DB6893"/>
    <w:rsid w:val="00DC2404"/>
    <w:rsid w:val="00DC61C6"/>
    <w:rsid w:val="00DD0ACB"/>
    <w:rsid w:val="00DD7694"/>
    <w:rsid w:val="00DF2E2A"/>
    <w:rsid w:val="00DF779F"/>
    <w:rsid w:val="00E03491"/>
    <w:rsid w:val="00E04CA1"/>
    <w:rsid w:val="00E05C8A"/>
    <w:rsid w:val="00E07E82"/>
    <w:rsid w:val="00E11EB1"/>
    <w:rsid w:val="00E12A78"/>
    <w:rsid w:val="00E1518D"/>
    <w:rsid w:val="00E2208A"/>
    <w:rsid w:val="00E23A77"/>
    <w:rsid w:val="00E34225"/>
    <w:rsid w:val="00E4173B"/>
    <w:rsid w:val="00E4303A"/>
    <w:rsid w:val="00E4531A"/>
    <w:rsid w:val="00E52DED"/>
    <w:rsid w:val="00E67398"/>
    <w:rsid w:val="00E8270E"/>
    <w:rsid w:val="00E8796C"/>
    <w:rsid w:val="00E93283"/>
    <w:rsid w:val="00EA08C2"/>
    <w:rsid w:val="00EA2347"/>
    <w:rsid w:val="00EB07CD"/>
    <w:rsid w:val="00EB15FD"/>
    <w:rsid w:val="00EB4ABD"/>
    <w:rsid w:val="00EC1210"/>
    <w:rsid w:val="00ED06D3"/>
    <w:rsid w:val="00ED07B5"/>
    <w:rsid w:val="00ED09B4"/>
    <w:rsid w:val="00ED147F"/>
    <w:rsid w:val="00ED40C5"/>
    <w:rsid w:val="00ED4CFC"/>
    <w:rsid w:val="00ED6A6F"/>
    <w:rsid w:val="00EE1BED"/>
    <w:rsid w:val="00EE3D98"/>
    <w:rsid w:val="00EF0AA2"/>
    <w:rsid w:val="00F02113"/>
    <w:rsid w:val="00F065DD"/>
    <w:rsid w:val="00F27917"/>
    <w:rsid w:val="00F36E9B"/>
    <w:rsid w:val="00F40701"/>
    <w:rsid w:val="00F43429"/>
    <w:rsid w:val="00F458DF"/>
    <w:rsid w:val="00F55C59"/>
    <w:rsid w:val="00F6173F"/>
    <w:rsid w:val="00F62B3E"/>
    <w:rsid w:val="00F63E33"/>
    <w:rsid w:val="00F6515B"/>
    <w:rsid w:val="00F661C8"/>
    <w:rsid w:val="00F70AF4"/>
    <w:rsid w:val="00F85044"/>
    <w:rsid w:val="00F85E28"/>
    <w:rsid w:val="00F86A7B"/>
    <w:rsid w:val="00F87119"/>
    <w:rsid w:val="00F950E9"/>
    <w:rsid w:val="00F96C4D"/>
    <w:rsid w:val="00F96E67"/>
    <w:rsid w:val="00FA53A9"/>
    <w:rsid w:val="00FA60B9"/>
    <w:rsid w:val="00FA7DFB"/>
    <w:rsid w:val="00FB1EDE"/>
    <w:rsid w:val="00FB2C6D"/>
    <w:rsid w:val="00FB3A8C"/>
    <w:rsid w:val="00FC0443"/>
    <w:rsid w:val="00FC0772"/>
    <w:rsid w:val="00FD02A1"/>
    <w:rsid w:val="00FD2377"/>
    <w:rsid w:val="00FE1DBD"/>
    <w:rsid w:val="00FE1E4B"/>
    <w:rsid w:val="00FE3628"/>
    <w:rsid w:val="01B217FD"/>
    <w:rsid w:val="08B7185B"/>
    <w:rsid w:val="0BAC27DF"/>
    <w:rsid w:val="0DB32F07"/>
    <w:rsid w:val="13B26760"/>
    <w:rsid w:val="14E12C1D"/>
    <w:rsid w:val="15DF6297"/>
    <w:rsid w:val="16915513"/>
    <w:rsid w:val="16B831D5"/>
    <w:rsid w:val="176747F1"/>
    <w:rsid w:val="176F4F02"/>
    <w:rsid w:val="24356AF4"/>
    <w:rsid w:val="244871D2"/>
    <w:rsid w:val="255C215A"/>
    <w:rsid w:val="256E2074"/>
    <w:rsid w:val="26EB030D"/>
    <w:rsid w:val="2E46069C"/>
    <w:rsid w:val="2E6A7745"/>
    <w:rsid w:val="30611B6D"/>
    <w:rsid w:val="315B5E2F"/>
    <w:rsid w:val="321C6CB0"/>
    <w:rsid w:val="33C33478"/>
    <w:rsid w:val="359B4383"/>
    <w:rsid w:val="37092813"/>
    <w:rsid w:val="40225701"/>
    <w:rsid w:val="45D35063"/>
    <w:rsid w:val="48FD78F9"/>
    <w:rsid w:val="538552A9"/>
    <w:rsid w:val="62DE5BC0"/>
    <w:rsid w:val="640C2041"/>
    <w:rsid w:val="672B1A53"/>
    <w:rsid w:val="709E7704"/>
    <w:rsid w:val="739026A7"/>
    <w:rsid w:val="789833E9"/>
    <w:rsid w:val="79606982"/>
    <w:rsid w:val="7A782C71"/>
    <w:rsid w:val="7DD703BB"/>
    <w:rsid w:val="7FC670A6"/>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name="annotation reference"/>
    <w:lsdException w:uiPriority="99" w:name="line number"/>
    <w:lsdException w:qFormat="1" w:unhideWhenUsed="0" w:uiPriority="99" w:semiHidden="0" w:name="page number"/>
    <w:lsdException w:qFormat="1" w:unhideWhenUsed="0" w:uiPriority="0" w:semiHidden="0"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qFormat="1"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link w:val="51"/>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54"/>
    <w:unhideWhenUsed/>
    <w:qFormat/>
    <w:uiPriority w:val="9"/>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paragraph" w:styleId="4">
    <w:name w:val="heading 3"/>
    <w:basedOn w:val="1"/>
    <w:next w:val="1"/>
    <w:link w:val="50"/>
    <w:qFormat/>
    <w:uiPriority w:val="9"/>
    <w:pPr>
      <w:keepNext/>
      <w:ind w:firstLine="720"/>
      <w:jc w:val="both"/>
      <w:outlineLvl w:val="2"/>
    </w:pPr>
    <w:rPr>
      <w:b/>
      <w:sz w:val="28"/>
      <w:szCs w:val="20"/>
      <w:lang w:val="vi-VN"/>
    </w:rPr>
  </w:style>
  <w:style w:type="paragraph" w:styleId="5">
    <w:name w:val="heading 4"/>
    <w:basedOn w:val="1"/>
    <w:next w:val="1"/>
    <w:link w:val="68"/>
    <w:semiHidden/>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69"/>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7">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45"/>
    <w:semiHidden/>
    <w:unhideWhenUsed/>
    <w:qFormat/>
    <w:uiPriority w:val="99"/>
    <w:rPr>
      <w:rFonts w:ascii="Segoe UI" w:hAnsi="Segoe UI" w:cs="Segoe UI"/>
      <w:sz w:val="18"/>
      <w:szCs w:val="18"/>
    </w:rPr>
  </w:style>
  <w:style w:type="paragraph" w:styleId="10">
    <w:name w:val="Body Text"/>
    <w:basedOn w:val="1"/>
    <w:link w:val="41"/>
    <w:unhideWhenUsed/>
    <w:qFormat/>
    <w:uiPriority w:val="99"/>
    <w:pPr>
      <w:spacing w:after="120"/>
    </w:pPr>
  </w:style>
  <w:style w:type="paragraph" w:styleId="11">
    <w:name w:val="Body Text 2"/>
    <w:basedOn w:val="1"/>
    <w:link w:val="38"/>
    <w:qFormat/>
    <w:uiPriority w:val="99"/>
    <w:pPr>
      <w:spacing w:after="120" w:line="480" w:lineRule="auto"/>
    </w:pPr>
    <w:rPr>
      <w:sz w:val="28"/>
      <w:szCs w:val="28"/>
      <w:lang w:val="zh-CN" w:eastAsia="zh-CN"/>
    </w:rPr>
  </w:style>
  <w:style w:type="paragraph" w:styleId="12">
    <w:name w:val="Body Text Indent 3"/>
    <w:basedOn w:val="1"/>
    <w:link w:val="36"/>
    <w:qFormat/>
    <w:uiPriority w:val="0"/>
    <w:pPr>
      <w:spacing w:after="120"/>
      <w:ind w:left="360"/>
    </w:pPr>
    <w:rPr>
      <w:sz w:val="16"/>
      <w:szCs w:val="16"/>
    </w:rPr>
  </w:style>
  <w:style w:type="paragraph" w:styleId="13">
    <w:name w:val="caption"/>
    <w:basedOn w:val="1"/>
    <w:qFormat/>
    <w:uiPriority w:val="0"/>
    <w:pPr>
      <w:suppressLineNumbers/>
      <w:spacing w:before="120" w:after="120"/>
    </w:pPr>
    <w:rPr>
      <w:rFonts w:cs="Noto Sans Devanagari"/>
      <w:i/>
      <w:iCs/>
    </w:rPr>
  </w:style>
  <w:style w:type="character" w:styleId="14">
    <w:name w:val="annotation reference"/>
    <w:basedOn w:val="7"/>
    <w:semiHidden/>
    <w:unhideWhenUsed/>
    <w:qFormat/>
    <w:uiPriority w:val="99"/>
    <w:rPr>
      <w:sz w:val="16"/>
      <w:szCs w:val="16"/>
    </w:rPr>
  </w:style>
  <w:style w:type="paragraph" w:styleId="15">
    <w:name w:val="annotation text"/>
    <w:basedOn w:val="1"/>
    <w:link w:val="46"/>
    <w:unhideWhenUsed/>
    <w:qFormat/>
    <w:uiPriority w:val="99"/>
    <w:rPr>
      <w:sz w:val="20"/>
      <w:szCs w:val="20"/>
    </w:rPr>
  </w:style>
  <w:style w:type="paragraph" w:styleId="16">
    <w:name w:val="annotation subject"/>
    <w:basedOn w:val="15"/>
    <w:next w:val="15"/>
    <w:link w:val="47"/>
    <w:semiHidden/>
    <w:unhideWhenUsed/>
    <w:qFormat/>
    <w:uiPriority w:val="99"/>
    <w:rPr>
      <w:b/>
      <w:bCs/>
    </w:rPr>
  </w:style>
  <w:style w:type="character" w:styleId="17">
    <w:name w:val="Emphasis"/>
    <w:qFormat/>
    <w:uiPriority w:val="20"/>
    <w:rPr>
      <w:i/>
      <w:iCs/>
    </w:rPr>
  </w:style>
  <w:style w:type="character" w:styleId="18">
    <w:name w:val="endnote reference"/>
    <w:qFormat/>
    <w:uiPriority w:val="0"/>
    <w:rPr>
      <w:vertAlign w:val="superscript"/>
    </w:rPr>
  </w:style>
  <w:style w:type="paragraph" w:styleId="19">
    <w:name w:val="footer"/>
    <w:basedOn w:val="1"/>
    <w:link w:val="35"/>
    <w:qFormat/>
    <w:uiPriority w:val="0"/>
    <w:pPr>
      <w:tabs>
        <w:tab w:val="center" w:pos="4320"/>
        <w:tab w:val="right" w:pos="8640"/>
      </w:tabs>
    </w:pPr>
  </w:style>
  <w:style w:type="character" w:styleId="20">
    <w:name w:val="footnote reference"/>
    <w:qFormat/>
    <w:uiPriority w:val="99"/>
    <w:rPr>
      <w:vertAlign w:val="superscript"/>
    </w:rPr>
  </w:style>
  <w:style w:type="paragraph" w:styleId="21">
    <w:name w:val="footnote text"/>
    <w:basedOn w:val="1"/>
    <w:link w:val="30"/>
    <w:qFormat/>
    <w:uiPriority w:val="99"/>
    <w:rPr>
      <w:sz w:val="20"/>
      <w:szCs w:val="20"/>
    </w:rPr>
  </w:style>
  <w:style w:type="paragraph" w:styleId="22">
    <w:name w:val="header"/>
    <w:basedOn w:val="1"/>
    <w:link w:val="37"/>
    <w:qFormat/>
    <w:uiPriority w:val="0"/>
    <w:pPr>
      <w:tabs>
        <w:tab w:val="center" w:pos="4320"/>
        <w:tab w:val="right" w:pos="8640"/>
      </w:tabs>
    </w:pPr>
  </w:style>
  <w:style w:type="character" w:styleId="23">
    <w:name w:val="HTML Code"/>
    <w:basedOn w:val="7"/>
    <w:semiHidden/>
    <w:unhideWhenUsed/>
    <w:qFormat/>
    <w:uiPriority w:val="99"/>
    <w:rPr>
      <w:rFonts w:ascii="Courier New" w:hAnsi="Courier New" w:eastAsia="Times New Roman" w:cs="Courier New"/>
      <w:sz w:val="20"/>
      <w:szCs w:val="20"/>
    </w:rPr>
  </w:style>
  <w:style w:type="character" w:styleId="24">
    <w:name w:val="Hyperlink"/>
    <w:basedOn w:val="7"/>
    <w:unhideWhenUsed/>
    <w:qFormat/>
    <w:uiPriority w:val="99"/>
    <w:rPr>
      <w:color w:val="0563C1" w:themeColor="hyperlink"/>
      <w:u w:val="single"/>
      <w14:textFill>
        <w14:solidFill>
          <w14:schemeClr w14:val="hlink"/>
        </w14:solidFill>
      </w14:textFill>
    </w:rPr>
  </w:style>
  <w:style w:type="paragraph" w:styleId="25">
    <w:name w:val="List"/>
    <w:basedOn w:val="10"/>
    <w:qFormat/>
    <w:uiPriority w:val="0"/>
    <w:rPr>
      <w:rFonts w:cs="Noto Sans Devanagari"/>
    </w:rPr>
  </w:style>
  <w:style w:type="paragraph" w:styleId="26">
    <w:name w:val="Normal (Web)"/>
    <w:basedOn w:val="1"/>
    <w:link w:val="71"/>
    <w:qFormat/>
    <w:uiPriority w:val="99"/>
    <w:pPr>
      <w:spacing w:beforeAutospacing="1" w:afterAutospacing="1"/>
    </w:pPr>
  </w:style>
  <w:style w:type="character" w:styleId="27">
    <w:name w:val="page number"/>
    <w:basedOn w:val="7"/>
    <w:qFormat/>
    <w:uiPriority w:val="99"/>
  </w:style>
  <w:style w:type="character" w:styleId="28">
    <w:name w:val="Strong"/>
    <w:qFormat/>
    <w:uiPriority w:val="22"/>
    <w:rPr>
      <w:b/>
      <w:bCs/>
    </w:rPr>
  </w:style>
  <w:style w:type="table" w:styleId="2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Footnote Text Char"/>
    <w:basedOn w:val="7"/>
    <w:link w:val="21"/>
    <w:qFormat/>
    <w:uiPriority w:val="99"/>
    <w:rPr>
      <w:rFonts w:eastAsia="Times New Roman" w:cs="Times New Roman"/>
      <w:sz w:val="20"/>
      <w:szCs w:val="20"/>
      <w:lang w:val="en-US"/>
    </w:rPr>
  </w:style>
  <w:style w:type="character" w:customStyle="1" w:styleId="31">
    <w:name w:val="Footnote Characters (user)"/>
    <w:link w:val="32"/>
    <w:qFormat/>
    <w:uiPriority w:val="0"/>
    <w:rPr>
      <w:vertAlign w:val="superscript"/>
    </w:rPr>
  </w:style>
  <w:style w:type="paragraph" w:customStyle="1" w:styleId="32">
    <w:name w:val="Footnote Text11"/>
    <w:basedOn w:val="1"/>
    <w:next w:val="1"/>
    <w:link w:val="31"/>
    <w:qFormat/>
    <w:uiPriority w:val="0"/>
    <w:pPr>
      <w:spacing w:after="160" w:line="240" w:lineRule="exact"/>
    </w:pPr>
    <w:rPr>
      <w:rFonts w:eastAsiaTheme="minorHAnsi" w:cstheme="minorBidi"/>
      <w:sz w:val="28"/>
      <w:szCs w:val="22"/>
      <w:vertAlign w:val="superscript"/>
      <w:lang w:val="vi-VN"/>
    </w:rPr>
  </w:style>
  <w:style w:type="character" w:customStyle="1" w:styleId="33">
    <w:name w:val="Footnote Characters"/>
    <w:link w:val="34"/>
    <w:qFormat/>
    <w:uiPriority w:val="0"/>
    <w:rPr>
      <w:rFonts w:eastAsiaTheme="minorHAnsi" w:cstheme="minorBidi"/>
      <w:sz w:val="28"/>
      <w:szCs w:val="22"/>
      <w:vertAlign w:val="superscript"/>
      <w:lang w:val="vi-VN"/>
    </w:rPr>
  </w:style>
  <w:style w:type="paragraph" w:customStyle="1" w:styleId="34">
    <w:name w:val="Carattere Carattere Char Char Char Char Char Char Zchn"/>
    <w:basedOn w:val="1"/>
    <w:next w:val="1"/>
    <w:link w:val="33"/>
    <w:qFormat/>
    <w:uiPriority w:val="0"/>
    <w:pPr>
      <w:spacing w:after="160" w:line="240" w:lineRule="exact"/>
    </w:pPr>
    <w:rPr>
      <w:rFonts w:eastAsiaTheme="minorHAnsi" w:cstheme="minorBidi"/>
      <w:sz w:val="28"/>
      <w:szCs w:val="22"/>
      <w:vertAlign w:val="superscript"/>
      <w:lang w:val="vi-VN"/>
    </w:rPr>
  </w:style>
  <w:style w:type="character" w:customStyle="1" w:styleId="35">
    <w:name w:val="Footer Char"/>
    <w:basedOn w:val="7"/>
    <w:link w:val="19"/>
    <w:qFormat/>
    <w:uiPriority w:val="0"/>
    <w:rPr>
      <w:rFonts w:eastAsia="Times New Roman" w:cs="Times New Roman"/>
      <w:color w:val="000000"/>
      <w:sz w:val="30"/>
      <w:szCs w:val="30"/>
      <w:lang w:val="en-US"/>
    </w:rPr>
  </w:style>
  <w:style w:type="character" w:customStyle="1" w:styleId="36">
    <w:name w:val="Body Text Indent 3 Char"/>
    <w:basedOn w:val="7"/>
    <w:link w:val="12"/>
    <w:qFormat/>
    <w:uiPriority w:val="0"/>
    <w:rPr>
      <w:rFonts w:eastAsia="Times New Roman" w:cs="Times New Roman"/>
      <w:color w:val="000000"/>
      <w:sz w:val="16"/>
      <w:szCs w:val="16"/>
      <w:lang w:val="en-US"/>
    </w:rPr>
  </w:style>
  <w:style w:type="character" w:customStyle="1" w:styleId="37">
    <w:name w:val="Header Char"/>
    <w:basedOn w:val="7"/>
    <w:link w:val="22"/>
    <w:qFormat/>
    <w:uiPriority w:val="0"/>
    <w:rPr>
      <w:rFonts w:eastAsia="Times New Roman" w:cs="Times New Roman"/>
      <w:color w:val="000000"/>
      <w:sz w:val="30"/>
      <w:szCs w:val="30"/>
      <w:lang w:val="en-US"/>
    </w:rPr>
  </w:style>
  <w:style w:type="character" w:customStyle="1" w:styleId="38">
    <w:name w:val="Body Text 2 Char"/>
    <w:basedOn w:val="7"/>
    <w:link w:val="11"/>
    <w:qFormat/>
    <w:uiPriority w:val="99"/>
    <w:rPr>
      <w:rFonts w:eastAsia="Times New Roman" w:cs="Times New Roman"/>
      <w:szCs w:val="28"/>
      <w:lang w:val="zh-CN" w:eastAsia="zh-CN"/>
    </w:rPr>
  </w:style>
  <w:style w:type="character" w:customStyle="1" w:styleId="39">
    <w:name w:val="Body text_"/>
    <w:link w:val="40"/>
    <w:qFormat/>
    <w:uiPriority w:val="0"/>
    <w:rPr>
      <w:sz w:val="27"/>
      <w:szCs w:val="27"/>
      <w:shd w:val="clear" w:color="auto" w:fill="FFFFFF"/>
    </w:rPr>
  </w:style>
  <w:style w:type="paragraph" w:customStyle="1" w:styleId="40">
    <w:name w:val="Body text1"/>
    <w:basedOn w:val="1"/>
    <w:link w:val="39"/>
    <w:qFormat/>
    <w:uiPriority w:val="0"/>
    <w:pPr>
      <w:shd w:val="clear" w:color="auto" w:fill="FFFFFF"/>
      <w:spacing w:line="326" w:lineRule="exact"/>
      <w:jc w:val="center"/>
    </w:pPr>
    <w:rPr>
      <w:rFonts w:eastAsiaTheme="minorHAnsi" w:cstheme="minorBidi"/>
      <w:sz w:val="27"/>
      <w:szCs w:val="27"/>
      <w:lang w:val="vi-VN"/>
    </w:rPr>
  </w:style>
  <w:style w:type="character" w:customStyle="1" w:styleId="41">
    <w:name w:val="Body Text Char"/>
    <w:basedOn w:val="7"/>
    <w:link w:val="10"/>
    <w:qFormat/>
    <w:uiPriority w:val="99"/>
    <w:rPr>
      <w:rFonts w:eastAsia="Times New Roman" w:cs="Times New Roman"/>
      <w:color w:val="000000"/>
      <w:sz w:val="30"/>
      <w:szCs w:val="30"/>
      <w:lang w:val="en-US"/>
    </w:rPr>
  </w:style>
  <w:style w:type="character" w:customStyle="1" w:styleId="42">
    <w:name w:val="Font Style16"/>
    <w:basedOn w:val="7"/>
    <w:qFormat/>
    <w:uiPriority w:val="0"/>
    <w:rPr>
      <w:rFonts w:ascii="Times New Roman" w:hAnsi="Times New Roman" w:cs="Times New Roman"/>
      <w:color w:val="000000"/>
      <w:sz w:val="28"/>
      <w:szCs w:val="28"/>
    </w:rPr>
  </w:style>
  <w:style w:type="character" w:customStyle="1" w:styleId="43">
    <w:name w:val="Van b?n n?i dung_"/>
    <w:link w:val="44"/>
    <w:qFormat/>
    <w:locked/>
    <w:uiPriority w:val="0"/>
    <w:rPr>
      <w:sz w:val="29"/>
      <w:shd w:val="clear" w:color="auto" w:fill="FFFFFF"/>
    </w:rPr>
  </w:style>
  <w:style w:type="paragraph" w:customStyle="1" w:styleId="44">
    <w:name w:val="Van b?n n?i dung1"/>
    <w:basedOn w:val="1"/>
    <w:link w:val="43"/>
    <w:qFormat/>
    <w:uiPriority w:val="0"/>
    <w:pPr>
      <w:shd w:val="clear" w:color="auto" w:fill="FFFFFF"/>
      <w:spacing w:line="305" w:lineRule="exact"/>
      <w:jc w:val="both"/>
    </w:pPr>
    <w:rPr>
      <w:rFonts w:eastAsiaTheme="minorHAnsi" w:cstheme="minorBidi"/>
      <w:sz w:val="29"/>
      <w:szCs w:val="22"/>
      <w:lang w:val="vi-VN"/>
    </w:rPr>
  </w:style>
  <w:style w:type="character" w:customStyle="1" w:styleId="45">
    <w:name w:val="Balloon Text Char"/>
    <w:basedOn w:val="7"/>
    <w:link w:val="9"/>
    <w:semiHidden/>
    <w:qFormat/>
    <w:uiPriority w:val="99"/>
    <w:rPr>
      <w:rFonts w:ascii="Segoe UI" w:hAnsi="Segoe UI" w:eastAsia="Times New Roman" w:cs="Segoe UI"/>
      <w:color w:val="000000"/>
      <w:sz w:val="18"/>
      <w:szCs w:val="18"/>
      <w:lang w:val="en-US"/>
    </w:rPr>
  </w:style>
  <w:style w:type="character" w:customStyle="1" w:styleId="46">
    <w:name w:val="Comment Text Char"/>
    <w:basedOn w:val="7"/>
    <w:link w:val="15"/>
    <w:qFormat/>
    <w:uiPriority w:val="99"/>
    <w:rPr>
      <w:rFonts w:eastAsia="Times New Roman" w:cs="Times New Roman"/>
      <w:color w:val="000000"/>
      <w:sz w:val="20"/>
      <w:szCs w:val="20"/>
      <w:lang w:val="en-US"/>
    </w:rPr>
  </w:style>
  <w:style w:type="character" w:customStyle="1" w:styleId="47">
    <w:name w:val="Comment Subject Char"/>
    <w:basedOn w:val="46"/>
    <w:link w:val="16"/>
    <w:semiHidden/>
    <w:qFormat/>
    <w:uiPriority w:val="99"/>
    <w:rPr>
      <w:rFonts w:eastAsia="Times New Roman" w:cs="Times New Roman"/>
      <w:b/>
      <w:bCs/>
      <w:color w:val="000000"/>
      <w:sz w:val="20"/>
      <w:szCs w:val="20"/>
      <w:lang w:val="en-US"/>
    </w:rPr>
  </w:style>
  <w:style w:type="character" w:customStyle="1" w:styleId="48">
    <w:name w:val="fontstyle01"/>
    <w:qFormat/>
    <w:uiPriority w:val="0"/>
    <w:rPr>
      <w:rFonts w:ascii="TimesNewRomanPS-ItalicMT" w:hAnsi="TimesNewRomanPS-ItalicMT"/>
      <w:i/>
      <w:iCs/>
      <w:color w:val="242021"/>
      <w:sz w:val="28"/>
      <w:szCs w:val="28"/>
    </w:rPr>
  </w:style>
  <w:style w:type="character" w:customStyle="1" w:styleId="49">
    <w:name w:val="Unresolved Mention1"/>
    <w:basedOn w:val="7"/>
    <w:semiHidden/>
    <w:unhideWhenUsed/>
    <w:qFormat/>
    <w:uiPriority w:val="99"/>
    <w:rPr>
      <w:color w:val="605E5C"/>
      <w:shd w:val="clear" w:color="auto" w:fill="E1DFDD"/>
    </w:rPr>
  </w:style>
  <w:style w:type="character" w:customStyle="1" w:styleId="50">
    <w:name w:val="Heading 3 Char"/>
    <w:basedOn w:val="7"/>
    <w:link w:val="4"/>
    <w:qFormat/>
    <w:uiPriority w:val="9"/>
    <w:rPr>
      <w:rFonts w:eastAsia="Times New Roman" w:cs="Times New Roman"/>
      <w:b/>
      <w:szCs w:val="20"/>
    </w:rPr>
  </w:style>
  <w:style w:type="character" w:customStyle="1" w:styleId="51">
    <w:name w:val="Heading 1 Char"/>
    <w:basedOn w:val="7"/>
    <w:link w:val="2"/>
    <w:qFormat/>
    <w:uiPriority w:val="99"/>
    <w:rPr>
      <w:rFonts w:asciiTheme="majorHAnsi" w:hAnsiTheme="majorHAnsi" w:eastAsiaTheme="majorEastAsia" w:cstheme="majorBidi"/>
      <w:color w:val="2F5597" w:themeColor="accent1" w:themeShade="BF"/>
      <w:sz w:val="32"/>
      <w:szCs w:val="32"/>
      <w:lang w:val="en-US"/>
    </w:rPr>
  </w:style>
  <w:style w:type="character" w:customStyle="1" w:styleId="52">
    <w:name w:val="Endnote Characters (user)"/>
    <w:qFormat/>
    <w:uiPriority w:val="0"/>
    <w:rPr>
      <w:vertAlign w:val="superscript"/>
    </w:rPr>
  </w:style>
  <w:style w:type="character" w:customStyle="1" w:styleId="53">
    <w:name w:val="Endnote Characters"/>
    <w:qFormat/>
    <w:uiPriority w:val="0"/>
    <w:rPr>
      <w:vertAlign w:val="superscript"/>
    </w:rPr>
  </w:style>
  <w:style w:type="character" w:customStyle="1" w:styleId="54">
    <w:name w:val="Heading 2 Char"/>
    <w:basedOn w:val="7"/>
    <w:link w:val="3"/>
    <w:qFormat/>
    <w:uiPriority w:val="9"/>
    <w:rPr>
      <w:rFonts w:asciiTheme="majorHAnsi" w:hAnsiTheme="majorHAnsi" w:eastAsiaTheme="majorEastAsia" w:cstheme="majorBidi"/>
      <w:b/>
      <w:bCs/>
      <w:color w:val="4472C4" w:themeColor="accent1"/>
      <w:sz w:val="26"/>
      <w:szCs w:val="26"/>
      <w:lang w:val="en-US"/>
      <w14:textFill>
        <w14:solidFill>
          <w14:schemeClr w14:val="accent1"/>
        </w14:solidFill>
      </w14:textFill>
    </w:rPr>
  </w:style>
  <w:style w:type="character" w:customStyle="1" w:styleId="55">
    <w:name w:val="Footnote Text Char1"/>
    <w:qFormat/>
    <w:uiPriority w:val="99"/>
    <w:rPr>
      <w:rFonts w:ascii="Times New Roman" w:hAnsi="Times New Roman" w:eastAsia="Times New Roman" w:cs="Times New Roman"/>
      <w:kern w:val="0"/>
      <w:sz w:val="20"/>
      <w:szCs w:val="20"/>
      <w:lang w:val="en-US"/>
      <w14:ligatures w14:val="none"/>
    </w:rPr>
  </w:style>
  <w:style w:type="paragraph" w:customStyle="1" w:styleId="56">
    <w:name w:val="Heading"/>
    <w:basedOn w:val="1"/>
    <w:next w:val="10"/>
    <w:qFormat/>
    <w:uiPriority w:val="0"/>
    <w:pPr>
      <w:keepNext/>
      <w:spacing w:before="240" w:after="120"/>
    </w:pPr>
    <w:rPr>
      <w:rFonts w:ascii="Carlito" w:hAnsi="Carlito" w:eastAsia="Noto Sans SC Regular" w:cs="Noto Sans Devanagari"/>
      <w:sz w:val="28"/>
      <w:szCs w:val="28"/>
    </w:rPr>
  </w:style>
  <w:style w:type="paragraph" w:customStyle="1" w:styleId="57">
    <w:name w:val="Index"/>
    <w:basedOn w:val="1"/>
    <w:qFormat/>
    <w:uiPriority w:val="0"/>
    <w:pPr>
      <w:suppressLineNumbers/>
    </w:pPr>
    <w:rPr>
      <w:rFonts w:cs="Noto Sans Devanagari"/>
    </w:rPr>
  </w:style>
  <w:style w:type="paragraph" w:customStyle="1" w:styleId="58">
    <w:name w:val="caption1"/>
    <w:basedOn w:val="1"/>
    <w:qFormat/>
    <w:uiPriority w:val="0"/>
    <w:pPr>
      <w:suppressLineNumbers/>
      <w:spacing w:before="120" w:after="120"/>
    </w:pPr>
    <w:rPr>
      <w:rFonts w:cs="Noto Sans Devanagari"/>
      <w:i/>
      <w:iCs/>
    </w:rPr>
  </w:style>
  <w:style w:type="paragraph" w:customStyle="1" w:styleId="59">
    <w:name w:val="Header and Footer"/>
    <w:basedOn w:val="1"/>
    <w:qFormat/>
    <w:uiPriority w:val="0"/>
  </w:style>
  <w:style w:type="paragraph" w:customStyle="1" w:styleId="60">
    <w:name w:val="Revision1"/>
    <w:semiHidden/>
    <w:qFormat/>
    <w:uiPriority w:val="99"/>
    <w:pPr>
      <w:suppressAutoHyphens/>
    </w:pPr>
    <w:rPr>
      <w:rFonts w:ascii="Times New Roman" w:hAnsi="Times New Roman" w:eastAsia="Times New Roman" w:cs="Times New Roman"/>
      <w:color w:val="000000"/>
      <w:sz w:val="30"/>
      <w:szCs w:val="30"/>
      <w:lang w:val="en-US" w:eastAsia="en-US" w:bidi="ar-SA"/>
    </w:rPr>
  </w:style>
  <w:style w:type="paragraph" w:customStyle="1" w:styleId="61">
    <w:name w:val="Body Text11"/>
    <w:basedOn w:val="1"/>
    <w:qFormat/>
    <w:uiPriority w:val="0"/>
    <w:pPr>
      <w:shd w:val="clear" w:color="auto" w:fill="FFFFFF"/>
      <w:spacing w:before="780" w:after="60" w:line="336" w:lineRule="exact"/>
      <w:ind w:firstLine="700"/>
      <w:jc w:val="both"/>
    </w:pPr>
    <w:rPr>
      <w:sz w:val="28"/>
      <w:szCs w:val="28"/>
    </w:rPr>
  </w:style>
  <w:style w:type="paragraph" w:styleId="62">
    <w:name w:val="List Paragraph"/>
    <w:basedOn w:val="1"/>
    <w:qFormat/>
    <w:uiPriority w:val="34"/>
    <w:pPr>
      <w:ind w:left="720"/>
      <w:contextualSpacing/>
    </w:pPr>
  </w:style>
  <w:style w:type="paragraph" w:customStyle="1" w:styleId="63">
    <w:name w:val="Footnote Reference 2"/>
    <w:basedOn w:val="1"/>
    <w:qFormat/>
    <w:uiPriority w:val="0"/>
    <w:pPr>
      <w:spacing w:after="160" w:line="240" w:lineRule="exact"/>
    </w:pPr>
    <w:rPr>
      <w:sz w:val="20"/>
      <w:szCs w:val="20"/>
      <w:vertAlign w:val="superscript"/>
    </w:rPr>
  </w:style>
  <w:style w:type="paragraph" w:styleId="64">
    <w:name w:val="No Spacing"/>
    <w:qFormat/>
    <w:uiPriority w:val="1"/>
    <w:pPr>
      <w:widowControl w:val="0"/>
      <w:suppressAutoHyphens/>
    </w:pPr>
    <w:rPr>
      <w:rFonts w:ascii="Times New Roman" w:hAnsi="Times New Roman" w:eastAsia="Times New Roman" w:cs="Times New Roman"/>
      <w:color w:val="000000"/>
      <w:sz w:val="30"/>
      <w:szCs w:val="30"/>
      <w:lang w:val="en-US" w:eastAsia="en-US" w:bidi="ar-SA"/>
    </w:rPr>
  </w:style>
  <w:style w:type="paragraph" w:customStyle="1" w:styleId="65">
    <w:name w:val="Frame Contents (user)"/>
    <w:basedOn w:val="1"/>
    <w:qFormat/>
    <w:uiPriority w:val="0"/>
  </w:style>
  <w:style w:type="paragraph" w:customStyle="1" w:styleId="66">
    <w:name w:val="Footnote Char Char Char Char Char Char Char"/>
    <w:basedOn w:val="1"/>
    <w:qFormat/>
    <w:uiPriority w:val="0"/>
    <w:pPr>
      <w:spacing w:before="100" w:line="240" w:lineRule="exact"/>
    </w:pPr>
    <w:rPr>
      <w:sz w:val="20"/>
      <w:szCs w:val="20"/>
      <w:vertAlign w:val="superscript"/>
    </w:rPr>
  </w:style>
  <w:style w:type="paragraph" w:customStyle="1" w:styleId="67">
    <w:name w:val="Frame Contents"/>
    <w:basedOn w:val="1"/>
    <w:qFormat/>
    <w:uiPriority w:val="0"/>
  </w:style>
  <w:style w:type="character" w:customStyle="1" w:styleId="68">
    <w:name w:val="Heading 4 Char"/>
    <w:basedOn w:val="7"/>
    <w:link w:val="5"/>
    <w:semiHidden/>
    <w:qFormat/>
    <w:uiPriority w:val="9"/>
    <w:rPr>
      <w:rFonts w:asciiTheme="majorHAnsi" w:hAnsiTheme="majorHAnsi" w:eastAsiaTheme="majorEastAsia" w:cstheme="majorBidi"/>
      <w:i/>
      <w:iCs/>
      <w:color w:val="2F5597" w:themeColor="accent1" w:themeShade="BF"/>
      <w:sz w:val="30"/>
      <w:szCs w:val="30"/>
      <w:lang w:val="en-US"/>
    </w:rPr>
  </w:style>
  <w:style w:type="character" w:customStyle="1" w:styleId="69">
    <w:name w:val="Heading 5 Char"/>
    <w:basedOn w:val="7"/>
    <w:link w:val="6"/>
    <w:semiHidden/>
    <w:qFormat/>
    <w:uiPriority w:val="9"/>
    <w:rPr>
      <w:rFonts w:asciiTheme="majorHAnsi" w:hAnsiTheme="majorHAnsi" w:eastAsiaTheme="majorEastAsia" w:cstheme="majorBidi"/>
      <w:color w:val="2F5597" w:themeColor="accent1" w:themeShade="BF"/>
      <w:sz w:val="24"/>
      <w:szCs w:val="24"/>
      <w:lang w:val="en-US"/>
    </w:rPr>
  </w:style>
  <w:style w:type="paragraph" w:customStyle="1" w:styleId="70">
    <w:name w:val="isselectedend"/>
    <w:basedOn w:val="1"/>
    <w:qFormat/>
    <w:uiPriority w:val="0"/>
    <w:pPr>
      <w:spacing w:before="100" w:beforeAutospacing="1" w:after="100" w:afterAutospacing="1"/>
    </w:pPr>
  </w:style>
  <w:style w:type="character" w:customStyle="1" w:styleId="71">
    <w:name w:val="Normal (Web) Char"/>
    <w:link w:val="26"/>
    <w:qFormat/>
    <w:locked/>
    <w:uiPriority w:val="99"/>
    <w:rPr>
      <w:rFonts w:eastAsia="Times New Roman" w:cs="Times New Roman"/>
      <w:sz w:val="24"/>
      <w:szCs w:val="24"/>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CD3A1F-E6EF-4632-A9BF-0A5AA8D2BC37}">
  <ds:schemaRefs/>
</ds:datastoreItem>
</file>

<file path=docProps/app.xml><?xml version="1.0" encoding="utf-8"?>
<Properties xmlns="http://schemas.openxmlformats.org/officeDocument/2006/extended-properties" xmlns:vt="http://schemas.openxmlformats.org/officeDocument/2006/docPropsVTypes">
  <Template>Normal</Template>
  <Pages>15</Pages>
  <Words>9695</Words>
  <Characters>34939</Characters>
  <Lines>293</Lines>
  <Paragraphs>89</Paragraphs>
  <TotalTime>153</TotalTime>
  <ScaleCrop>false</ScaleCrop>
  <LinksUpToDate>false</LinksUpToDate>
  <CharactersWithSpaces>44760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2026-09-21T08:52:00Z</dcterms:created>
  <dc:creator>Administrator</dc:creator>
  <cp:lastModifiedBy>gia sung</cp:lastModifiedBy>
  <cp:lastPrinted>2026-01-23T09:29:00Z</cp:lastPrinted>
  <dcterms:modified xsi:type="dcterms:W3CDTF">2026-09-23T07:37:13Z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10DF26A5E52F4BA2AE242B79F5663334_12</vt:lpwstr>
  </property>
</Properties>
</file>