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90B11" w14:textId="77777777" w:rsidR="00400AA6" w:rsidRPr="00A23690" w:rsidRDefault="00297F9F" w:rsidP="00DA10F2">
      <w:pPr>
        <w:widowControl w:val="0"/>
        <w:spacing w:line="240" w:lineRule="auto"/>
        <w:jc w:val="center"/>
        <w:rPr>
          <w:rFonts w:cs="Times New Roman"/>
          <w:szCs w:val="28"/>
        </w:rPr>
      </w:pPr>
      <w:r w:rsidRPr="00A23690">
        <w:rPr>
          <w:rFonts w:cs="Times New Roman"/>
          <w:b/>
          <w:szCs w:val="28"/>
        </w:rPr>
        <w:t>CHUYÊN ĐỀ</w:t>
      </w:r>
    </w:p>
    <w:p w14:paraId="785A4611" w14:textId="77777777" w:rsidR="00400AA6" w:rsidRPr="00A23690" w:rsidRDefault="00297F9F" w:rsidP="00DA10F2">
      <w:pPr>
        <w:widowControl w:val="0"/>
        <w:spacing w:line="240" w:lineRule="auto"/>
        <w:jc w:val="center"/>
        <w:rPr>
          <w:rFonts w:cs="Times New Roman"/>
          <w:b/>
          <w:szCs w:val="28"/>
        </w:rPr>
      </w:pPr>
      <w:r w:rsidRPr="00A23690">
        <w:rPr>
          <w:rFonts w:eastAsia="Times New Roman" w:cs="Times New Roman"/>
          <w:b/>
          <w:bCs/>
          <w:szCs w:val="28"/>
        </w:rPr>
        <w:t>Những nội dung trọng tâm, cốt lõi của</w:t>
      </w:r>
      <w:r w:rsidRPr="00A23690">
        <w:rPr>
          <w:rFonts w:cs="Times New Roman"/>
          <w:b/>
          <w:szCs w:val="28"/>
        </w:rPr>
        <w:t xml:space="preserve"> Quy định số 224-QĐ/TW, </w:t>
      </w:r>
    </w:p>
    <w:p w14:paraId="3A3EF18A" w14:textId="77777777" w:rsidR="00400AA6" w:rsidRPr="00A23690" w:rsidRDefault="00297F9F" w:rsidP="00DA10F2">
      <w:pPr>
        <w:widowControl w:val="0"/>
        <w:spacing w:line="240" w:lineRule="auto"/>
        <w:jc w:val="center"/>
        <w:rPr>
          <w:rFonts w:cs="Times New Roman"/>
          <w:b/>
          <w:szCs w:val="28"/>
        </w:rPr>
      </w:pPr>
      <w:r w:rsidRPr="00A23690">
        <w:rPr>
          <w:rFonts w:cs="Times New Roman"/>
          <w:b/>
          <w:szCs w:val="28"/>
        </w:rPr>
        <w:t>ngày 14/10/2026  của Ban Chấp hành Trung ương Đảng khóa XIV</w:t>
      </w:r>
    </w:p>
    <w:p w14:paraId="1BC4FC3F" w14:textId="77777777" w:rsidR="00400AA6" w:rsidRPr="00A23690" w:rsidRDefault="00297F9F" w:rsidP="00DA10F2">
      <w:pPr>
        <w:widowControl w:val="0"/>
        <w:spacing w:line="240" w:lineRule="auto"/>
        <w:jc w:val="center"/>
        <w:rPr>
          <w:rFonts w:cs="Times New Roman"/>
          <w:b/>
          <w:szCs w:val="28"/>
        </w:rPr>
      </w:pPr>
      <w:r w:rsidRPr="00A23690">
        <w:rPr>
          <w:rFonts w:cs="Times New Roman"/>
          <w:b/>
          <w:szCs w:val="28"/>
        </w:rPr>
        <w:t>về đảng viên tham gia hoạt động đầu tư, kinh doanh</w:t>
      </w:r>
    </w:p>
    <w:p w14:paraId="6F0DD0CE" w14:textId="77777777" w:rsidR="00400AA6" w:rsidRPr="00A23690" w:rsidRDefault="00297F9F" w:rsidP="00DA10F2">
      <w:pPr>
        <w:widowControl w:val="0"/>
        <w:spacing w:line="240" w:lineRule="auto"/>
        <w:jc w:val="center"/>
        <w:rPr>
          <w:rFonts w:cs="Times New Roman"/>
          <w:bCs/>
          <w:szCs w:val="28"/>
        </w:rPr>
      </w:pPr>
      <w:r w:rsidRPr="00A23690">
        <w:rPr>
          <w:rFonts w:cs="Times New Roman"/>
          <w:bCs/>
          <w:szCs w:val="28"/>
        </w:rPr>
        <w:t>-----</w:t>
      </w:r>
    </w:p>
    <w:p w14:paraId="00105977" w14:textId="77777777" w:rsidR="00400AA6" w:rsidRPr="00A23690" w:rsidRDefault="00400AA6" w:rsidP="00A23690">
      <w:pPr>
        <w:widowControl w:val="0"/>
        <w:spacing w:line="264" w:lineRule="auto"/>
        <w:jc w:val="both"/>
        <w:rPr>
          <w:rFonts w:cs="Times New Roman"/>
          <w:b/>
          <w:sz w:val="14"/>
          <w:szCs w:val="14"/>
        </w:rPr>
      </w:pPr>
    </w:p>
    <w:p w14:paraId="0E44C9A1"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Quy định số 224-QĐ/TW, ngày 14/10/2026 của Ban Chấp hành Trung ương Đảng khóa XIV xác lập rõ quyền, điều kiện, giới hạn và trách nhiệm của đảng viên khi tham gia hoạt động đầu tư, kinh doanh theo từng nhóm đối tượng. Tinh thần xuyên suốt là khuyến khích đảng viên làm giàu hợp pháp, chính đáng, đóng góp cho sự phát triển đất nước, đồng thời kiểm soát chặt chẽ xung đột lợi ích, giữ nghiêm kỷ luật của Đảng và liêm chính trong thực thi công vụ. Việc nghiên cứu, quán triệt Quy định nhằm thống nhất nhận thức, giúp cấp ủy, tổ chức đảng và mỗi đảng viên thực hiện đúng, đầy đủ trách nhiệm của mình.</w:t>
      </w:r>
    </w:p>
    <w:p w14:paraId="7FF7DD15" w14:textId="77777777" w:rsidR="00400AA6" w:rsidRPr="00A23690" w:rsidRDefault="00297F9F" w:rsidP="0047263F">
      <w:pPr>
        <w:widowControl w:val="0"/>
        <w:numPr>
          <w:ilvl w:val="0"/>
          <w:numId w:val="7"/>
        </w:numPr>
        <w:spacing w:before="60" w:line="360" w:lineRule="exact"/>
        <w:ind w:firstLine="567"/>
        <w:jc w:val="both"/>
        <w:rPr>
          <w:rFonts w:cs="Times New Roman"/>
          <w:b/>
          <w:szCs w:val="28"/>
        </w:rPr>
      </w:pPr>
      <w:r w:rsidRPr="00A23690">
        <w:rPr>
          <w:rFonts w:cs="Times New Roman"/>
          <w:b/>
          <w:szCs w:val="28"/>
        </w:rPr>
        <w:t>CƠ SỞ VÀ YÊU CẦU BAN HÀNH QUY ĐỊNH</w:t>
      </w:r>
    </w:p>
    <w:p w14:paraId="62E973F1" w14:textId="77777777" w:rsidR="00400AA6" w:rsidRPr="00A23690" w:rsidRDefault="00297F9F" w:rsidP="0047263F">
      <w:pPr>
        <w:widowControl w:val="0"/>
        <w:spacing w:before="60" w:line="360" w:lineRule="exact"/>
        <w:ind w:firstLine="567"/>
        <w:jc w:val="both"/>
        <w:rPr>
          <w:rFonts w:cs="Times New Roman"/>
          <w:b/>
          <w:bCs/>
          <w:szCs w:val="28"/>
        </w:rPr>
      </w:pPr>
      <w:r w:rsidRPr="00A23690">
        <w:rPr>
          <w:rFonts w:cs="Times New Roman"/>
          <w:b/>
          <w:bCs/>
          <w:szCs w:val="28"/>
        </w:rPr>
        <w:t>1. Kết quả qua 20 năm thực hiện Quy định số 15-QĐ/TW</w:t>
      </w:r>
    </w:p>
    <w:p w14:paraId="3111E25B"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Ngày 28/8/2006, Ban Chấp hành Trung ương Đảng khóa X ban hành Quy định số 15-QĐ/TW về đảng viên làm kinh tế tư nhân, đánh dấu sự thay đổi tư duy của Đảng, thừa nhận và cho phép đảng viên được làm kinh tế tư nhân. Qua 20 năm triển khai thực hiện, Quy định số 15-QĐ/TW đã đạt được những kết quả tích cực, số đảng viên làm kinh tế tư nhân </w:t>
      </w:r>
      <w:r w:rsidRPr="00A23690">
        <w:rPr>
          <w:rFonts w:cs="Times New Roman"/>
          <w:bCs/>
          <w:szCs w:val="28"/>
        </w:rPr>
        <w:t>tăng hơn 5 lần</w:t>
      </w:r>
      <w:r w:rsidRPr="00A23690">
        <w:rPr>
          <w:rFonts w:cs="Times New Roman"/>
          <w:b/>
          <w:szCs w:val="28"/>
        </w:rPr>
        <w:t xml:space="preserve"> </w:t>
      </w:r>
      <w:r w:rsidRPr="00A23690">
        <w:rPr>
          <w:rFonts w:cs="Times New Roman"/>
          <w:bCs/>
          <w:szCs w:val="28"/>
        </w:rPr>
        <w:t>(từ hơn 35 nghìn người năm 2006 lên 187 nghìn người năm 2026)</w:t>
      </w:r>
      <w:r w:rsidRPr="00A23690">
        <w:rPr>
          <w:rFonts w:cs="Times New Roman"/>
          <w:szCs w:val="28"/>
        </w:rPr>
        <w:t xml:space="preserve">; nhận thức về đảng viên làm kinh tế tư nhân có chuyển biến tích cực; đội ngũ đảng viên, doanh nhân do đảng viên làm chủ, tham gia quản lý đã có nhiều đóng góp về sản xuất, kinh doanh, tạo việc làm, thực hiện nghĩa vụ với Nhà nước và an sinh xã hội. </w:t>
      </w:r>
    </w:p>
    <w:p w14:paraId="162595ED" w14:textId="77777777" w:rsidR="00400AA6" w:rsidRPr="00A23690" w:rsidRDefault="00297F9F" w:rsidP="0047263F">
      <w:pPr>
        <w:widowControl w:val="0"/>
        <w:spacing w:before="60" w:line="360" w:lineRule="exact"/>
        <w:ind w:firstLine="567"/>
        <w:jc w:val="both"/>
        <w:rPr>
          <w:rFonts w:cs="Times New Roman"/>
          <w:b/>
          <w:bCs/>
          <w:szCs w:val="28"/>
        </w:rPr>
      </w:pPr>
      <w:r w:rsidRPr="00A23690">
        <w:rPr>
          <w:rFonts w:cs="Times New Roman"/>
          <w:b/>
          <w:bCs/>
          <w:szCs w:val="28"/>
        </w:rPr>
        <w:t>2. Hạn chế và nguyên nhân</w:t>
      </w:r>
    </w:p>
    <w:p w14:paraId="3AF568E9"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Cs/>
          <w:szCs w:val="28"/>
        </w:rPr>
        <w:t>- Về hạn chế</w:t>
      </w:r>
      <w:r w:rsidRPr="00A23690">
        <w:rPr>
          <w:rFonts w:cs="Times New Roman"/>
          <w:szCs w:val="28"/>
        </w:rPr>
        <w:t xml:space="preserve">, mức độ tham gia của đảng viên vào phát triển kinh tế tư nhân còn chưa như kỳ vọng (tại thời điểm 31/12/2025, số đảng viên là chủ doanh nghiệp tư nhân chỉ chiếm khoảng 4,59% số đảng viên trong các đơn vị kinh tế tư nhân và khoảng 0,15% tổng số đảng viên toàn Đảng).  </w:t>
      </w:r>
    </w:p>
    <w:p w14:paraId="73C674E1"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Nguyên nhân cơ bản là do Quy định số 15-QĐ/TW chủ yếu quy định đối với đảng viên ngoài khu vực công tham gia kinh tế tư nhân; nhiều quy định cho đảng viên làm kinh tế tư nhân còn chưa thực sự rõ, chưa phân định đầy đủ quyền, giới hạn và trách nhiệm theo địa vị pháp lý, chức vụ, vị trí công tác; phương thức quản lý chủ yếu dựa trên hình thức đứng tên, chưa chú trọng đầy đủ quyền kiểm soát, mức độ chi phối, quản lý, điều hành và lợi ích thực tế; cơ chế kiểm soát xung đột lợi ích chưa được quy định đồng bộ; việc quy định đảng viên trong khu vực công làm kinh tế tư nhân còn rất hạn chế, trong khi đây là khu vực có lực lượng đảng viên đông đảo nhất. </w:t>
      </w:r>
    </w:p>
    <w:p w14:paraId="1F7ECB75" w14:textId="77777777" w:rsidR="00400AA6" w:rsidRPr="00A23690" w:rsidRDefault="00297F9F" w:rsidP="0047263F">
      <w:pPr>
        <w:widowControl w:val="0"/>
        <w:spacing w:before="60" w:line="360" w:lineRule="exact"/>
        <w:ind w:firstLine="567"/>
        <w:jc w:val="both"/>
        <w:rPr>
          <w:rFonts w:cs="Times New Roman"/>
          <w:b/>
          <w:bCs/>
          <w:szCs w:val="28"/>
        </w:rPr>
      </w:pPr>
      <w:r w:rsidRPr="00A23690">
        <w:rPr>
          <w:rFonts w:cs="Times New Roman"/>
          <w:b/>
          <w:bCs/>
          <w:szCs w:val="28"/>
        </w:rPr>
        <w:t>3. Yêu cầu phát triển trong giai đoạn mới</w:t>
      </w:r>
    </w:p>
    <w:p w14:paraId="5E501ABF"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lastRenderedPageBreak/>
        <w:t xml:space="preserve">Khu vực kinh tế tư nhân đóng vai trò quan trọng trong quá trình phát triển đất nước. Đảng ta đã xác định </w:t>
      </w:r>
      <w:r w:rsidRPr="00A23690">
        <w:rPr>
          <w:rFonts w:cs="Times New Roman"/>
          <w:b/>
          <w:i/>
          <w:szCs w:val="28"/>
        </w:rPr>
        <w:t>“kinh tế tư nhân là một động lực quan trọng nhất”</w:t>
      </w:r>
      <w:r w:rsidRPr="00A23690">
        <w:rPr>
          <w:rFonts w:cs="Times New Roman"/>
          <w:szCs w:val="28"/>
        </w:rPr>
        <w:t xml:space="preserve">, điều này được khẳng định tại Nghị quyết Đại hội XIV của Đảng và Nghị quyết số 68-NQ/TW của Bộ Chính trị. Để thực hiện chuyển đổi thành công sang mô hình phát triển mới theo tinh thần Nghị quyết 19 của Ban Chấp hành Trung ương và hoàn thành các mục tiêu đề ra đến năm 2030 và 2045 trong Chiến lược phát triển kinh tế - xã hội và các nghị quyết của Đảng, kinh tế tư nhân phải thực sự trở thành một động lực quan trọng nhất và có những bước phát triển mạnh mẽ, đột phá hơn nữa trong thời gian tới. </w:t>
      </w:r>
    </w:p>
    <w:p w14:paraId="421F0A05"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Trên cơ sở bám sát Điều lệ Đảng, bám sát Cương lĩnh xây dựng đất nước trong thời kỳ quá độ lên chủ nghĩa xã hội, làm rõ cơ sở lý luận và kinh nghiệm quốc tế, tổng kết thực tiễn qua 20 năm thực hiện Quy định số 15-QĐ/TW và yêu cầu phát triển đất nước trong giai đoạn mới, Hội nghị lần thứ tư Ban Chấp hành Trung ương Đảng khóa XIV đã thống nhất ban hành Quy định số 224-QĐ/TW, ngày 14/10/2026 về đảng viên tham gia hoạt động đầu tư, kinh doanh thay thế Quy định số 15-QĐ/TW, với nội hàm rộng hơn, bám sát hoạt động đầu tư kinh doanh trên thực tiễn và phù hợp với thông lệ quốc tế.  </w:t>
      </w:r>
    </w:p>
    <w:p w14:paraId="3BD04C97" w14:textId="77777777" w:rsidR="00400AA6" w:rsidRPr="00A23690" w:rsidRDefault="00297F9F" w:rsidP="0047263F">
      <w:pPr>
        <w:widowControl w:val="0"/>
        <w:numPr>
          <w:ilvl w:val="0"/>
          <w:numId w:val="7"/>
        </w:numPr>
        <w:spacing w:before="60" w:line="360" w:lineRule="exact"/>
        <w:ind w:firstLine="567"/>
        <w:jc w:val="both"/>
        <w:rPr>
          <w:rFonts w:cs="Times New Roman"/>
          <w:b/>
          <w:bCs/>
          <w:szCs w:val="28"/>
        </w:rPr>
      </w:pPr>
      <w:r w:rsidRPr="00A23690">
        <w:rPr>
          <w:rFonts w:cs="Times New Roman"/>
          <w:b/>
          <w:bCs/>
          <w:szCs w:val="28"/>
        </w:rPr>
        <w:t>QUAN ĐIỂM CHỈ ĐẠO XÂY DỰNG QUY ĐỊNH</w:t>
      </w:r>
    </w:p>
    <w:p w14:paraId="4117107A" w14:textId="77777777" w:rsidR="00400AA6" w:rsidRPr="00A23690" w:rsidRDefault="00297F9F" w:rsidP="0047263F">
      <w:pPr>
        <w:widowControl w:val="0"/>
        <w:spacing w:before="60" w:line="360" w:lineRule="exact"/>
        <w:ind w:firstLine="567"/>
        <w:jc w:val="both"/>
        <w:rPr>
          <w:rFonts w:cs="Times New Roman"/>
          <w:spacing w:val="-4"/>
          <w:szCs w:val="28"/>
        </w:rPr>
      </w:pPr>
      <w:r w:rsidRPr="00A23690">
        <w:rPr>
          <w:rFonts w:cs="Times New Roman"/>
          <w:spacing w:val="-4"/>
          <w:szCs w:val="28"/>
        </w:rPr>
        <w:t xml:space="preserve">Quy định 224-QĐ/TW được xây dựng trên 05 quan điểm chỉ đạo lớn của Đảng: </w:t>
      </w:r>
    </w:p>
    <w:p w14:paraId="2CDFE712" w14:textId="77777777" w:rsidR="00400AA6" w:rsidRPr="00A23690" w:rsidRDefault="00297F9F" w:rsidP="0047263F">
      <w:pPr>
        <w:widowControl w:val="0"/>
        <w:spacing w:before="60" w:line="360" w:lineRule="exact"/>
        <w:ind w:firstLine="567"/>
        <w:jc w:val="both"/>
        <w:rPr>
          <w:rFonts w:cs="Times New Roman"/>
          <w:spacing w:val="-4"/>
          <w:szCs w:val="28"/>
        </w:rPr>
      </w:pPr>
      <w:r w:rsidRPr="00A23690">
        <w:rPr>
          <w:rFonts w:cs="Times New Roman"/>
          <w:spacing w:val="-4"/>
          <w:szCs w:val="28"/>
        </w:rPr>
        <w:t xml:space="preserve">- Một là, Đảng viên là chiến sĩ cách mạng trong đội tiên phong của giai cấp công nhân, Nhân dân lao động và dân tộc Việt Nam, </w:t>
      </w:r>
      <w:r w:rsidRPr="00A23690">
        <w:rPr>
          <w:rFonts w:cs="Times New Roman"/>
          <w:spacing w:val="-2"/>
          <w:szCs w:val="28"/>
        </w:rPr>
        <w:t xml:space="preserve">có trách nhiệm tiên phong, gương mẫu trong lao động, sản xuất, kinh doanh, đóng góp tích cực vào sự nghiệp phát triển đất nước trong kỷ nguyên mới; đổi mới tư duy, chuyển từ tư duy </w:t>
      </w:r>
      <w:r w:rsidRPr="00A23690">
        <w:rPr>
          <w:rFonts w:cs="Times New Roman"/>
          <w:i/>
          <w:spacing w:val="-2"/>
          <w:szCs w:val="28"/>
        </w:rPr>
        <w:t>“cho phép” sang “khuyến khích, tạo điều kiện”</w:t>
      </w:r>
      <w:r w:rsidRPr="00A23690">
        <w:rPr>
          <w:rFonts w:cs="Times New Roman"/>
          <w:spacing w:val="-2"/>
          <w:szCs w:val="28"/>
        </w:rPr>
        <w:t xml:space="preserve"> để đảng viên làm giàu hợp pháp, chính đáng, đóng góp cho đất nước, mở rộng sự tham gia của đảng viên trong khu vực công</w:t>
      </w:r>
      <w:r w:rsidRPr="00A23690">
        <w:rPr>
          <w:rFonts w:cs="Times New Roman"/>
          <w:spacing w:val="-4"/>
          <w:szCs w:val="28"/>
        </w:rPr>
        <w:t xml:space="preserve">. </w:t>
      </w:r>
    </w:p>
    <w:p w14:paraId="24B073B5"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Hai là, chuyển từ tư duy chủ yếu “</w:t>
      </w:r>
      <w:r w:rsidRPr="00A23690">
        <w:rPr>
          <w:rFonts w:cs="Times New Roman"/>
          <w:i/>
          <w:iCs/>
          <w:szCs w:val="28"/>
        </w:rPr>
        <w:t>được làm/không được làm”</w:t>
      </w:r>
      <w:r w:rsidRPr="00A23690">
        <w:rPr>
          <w:rFonts w:cs="Times New Roman"/>
          <w:szCs w:val="28"/>
        </w:rPr>
        <w:t xml:space="preserve"> sang </w:t>
      </w:r>
      <w:r w:rsidRPr="00A23690">
        <w:rPr>
          <w:rFonts w:cs="Times New Roman"/>
          <w:i/>
          <w:iCs/>
          <w:szCs w:val="28"/>
        </w:rPr>
        <w:t>“được làm - được làm có điều kiện, có kiểm soát - không được làm”</w:t>
      </w:r>
      <w:r w:rsidRPr="00A23690">
        <w:rPr>
          <w:rFonts w:cs="Times New Roman"/>
          <w:szCs w:val="28"/>
        </w:rPr>
        <w:t xml:space="preserve">, gắn với kiểm soát xung đột lợi ích. </w:t>
      </w:r>
    </w:p>
    <w:p w14:paraId="2053BC40"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Ba là, quyền, điều kiện, giới hạn tham gia phải phù hợp với địa vị pháp lý, chức trách, mức độ rủi ro xung đột lợi ích. Kiểm soát phải căn cứ quyền sở hữu, quyền chi phối, lợi ích thực tế, không chỉ người đứng tên; bảo vệ hoạt động             kinh tế hợp pháp, không để quyền lực, thông tin, tài sản công trở thành lợi thế riêng. Xung đột lợi ích phải được báo cáo, xử lý đúng thẩm quyền, không dừng ở kê khai. </w:t>
      </w:r>
    </w:p>
    <w:p w14:paraId="4769A064"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Bốn là, phải gắn phát huy vai trò đảng viên trong phát triển kinh tế với giữ vững bản chất của Đảng; trong điều kiện xây dựng Nhà nước pháp quyền xã hội chủ nghĩa và phát triển nền kinh tế thị trường định hướng xã hội chủ nghĩa, việc đảng viên tham gia hoạt động đầu tư kinh doanh không làm thay đổi bản chất giai cấp công nhân của Đảng; xây dựng Đảng trong khu vực ngoài nhà nước và liêm </w:t>
      </w:r>
      <w:r w:rsidRPr="00A23690">
        <w:rPr>
          <w:rFonts w:cs="Times New Roman"/>
          <w:szCs w:val="28"/>
        </w:rPr>
        <w:lastRenderedPageBreak/>
        <w:t xml:space="preserve">chính công vụ. </w:t>
      </w:r>
    </w:p>
    <w:p w14:paraId="3A3AFE8F"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Năm là, bảo đảm đồng bộ giữa quy định của Đảng và pháp luật của Nhà nước, có các quy định về chuyển tiếp phù hợp. </w:t>
      </w:r>
    </w:p>
    <w:p w14:paraId="044492D0" w14:textId="77777777" w:rsidR="00400AA6" w:rsidRPr="00A23690" w:rsidRDefault="00297F9F" w:rsidP="0047263F">
      <w:pPr>
        <w:widowControl w:val="0"/>
        <w:spacing w:before="60" w:line="360" w:lineRule="exact"/>
        <w:ind w:firstLine="567"/>
        <w:jc w:val="both"/>
        <w:rPr>
          <w:rFonts w:cs="Times New Roman"/>
          <w:b/>
          <w:bCs/>
          <w:szCs w:val="28"/>
        </w:rPr>
      </w:pPr>
      <w:r w:rsidRPr="00A23690">
        <w:rPr>
          <w:rFonts w:cs="Times New Roman"/>
          <w:b/>
          <w:bCs/>
          <w:szCs w:val="28"/>
        </w:rPr>
        <w:t xml:space="preserve">III. NỘI DUNG CỐT LÕI CỦA QUY ĐỊNH </w:t>
      </w:r>
    </w:p>
    <w:p w14:paraId="55C0E764"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i/>
          <w:szCs w:val="28"/>
        </w:rPr>
        <w:t>Quy định 224-QĐ/TW gồm 03 chương, 14 điều. Nội dung cốt lõi của Quy định như sau:</w:t>
      </w:r>
    </w:p>
    <w:p w14:paraId="6479B926" w14:textId="77777777" w:rsidR="00400AA6" w:rsidRPr="00A23690" w:rsidRDefault="00297F9F" w:rsidP="0047263F">
      <w:pPr>
        <w:widowControl w:val="0"/>
        <w:spacing w:before="60" w:line="360" w:lineRule="exact"/>
        <w:ind w:firstLine="567"/>
        <w:jc w:val="both"/>
        <w:rPr>
          <w:rFonts w:cs="Times New Roman"/>
          <w:b/>
          <w:szCs w:val="28"/>
        </w:rPr>
      </w:pPr>
      <w:r w:rsidRPr="00A23690">
        <w:rPr>
          <w:rFonts w:cs="Times New Roman"/>
          <w:b/>
          <w:iCs/>
          <w:szCs w:val="28"/>
        </w:rPr>
        <w:t>1. Về nguyên tắc chung</w:t>
      </w:r>
    </w:p>
    <w:p w14:paraId="2CC0CE22" w14:textId="3161E501"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szCs w:val="28"/>
        </w:rPr>
        <w:t xml:space="preserve">Đảng viên tham gia hoạt động đầu tư kinh doanh </w:t>
      </w:r>
      <w:r w:rsidRPr="00A23690">
        <w:rPr>
          <w:rFonts w:cs="Times New Roman"/>
          <w:bCs/>
          <w:szCs w:val="28"/>
        </w:rPr>
        <w:t xml:space="preserve">phải </w:t>
      </w:r>
      <w:r w:rsidRPr="00A23690">
        <w:rPr>
          <w:rFonts w:cs="Times New Roman"/>
          <w:bCs/>
          <w:color w:val="FF0000"/>
          <w:szCs w:val="28"/>
        </w:rPr>
        <w:t>bảo</w:t>
      </w:r>
      <w:r w:rsidR="00C62141" w:rsidRPr="00A23690">
        <w:rPr>
          <w:rFonts w:cs="Times New Roman"/>
          <w:bCs/>
          <w:color w:val="FF0000"/>
          <w:szCs w:val="28"/>
        </w:rPr>
        <w:t xml:space="preserve"> đảm</w:t>
      </w:r>
      <w:r w:rsidRPr="00A23690">
        <w:rPr>
          <w:rFonts w:cs="Times New Roman"/>
          <w:bCs/>
          <w:color w:val="FF0000"/>
          <w:szCs w:val="28"/>
        </w:rPr>
        <w:t xml:space="preserve"> </w:t>
      </w:r>
      <w:r w:rsidRPr="00A23690">
        <w:rPr>
          <w:rFonts w:cs="Times New Roman"/>
          <w:bCs/>
          <w:szCs w:val="28"/>
        </w:rPr>
        <w:t xml:space="preserve">05 nguyên tắc quy định tại Điều 3, cụ thể:  </w:t>
      </w:r>
    </w:p>
    <w:p w14:paraId="7BB0B455"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(1) Đảng viên tham gia hoạt động đầu tư kinh doanh theo Quy định này và quy định của pháp luật; tuân thủ những điều đảng viên không được làm; gương mẫu thực hiện đầy đủ nghĩa vụ, trách nhiệm với Nhà nước, xã hội, môi trường, người lao động, người tiêu dùng; giữ gìn đạo đức kinh doanh, xây dựng văn hoá kinh doanh lành mạnh, thực hành kinh doanh có trách nhiệm.  </w:t>
      </w:r>
    </w:p>
    <w:p w14:paraId="450313BE"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(2) Quyền sở hữu, quyền tài sản và quyền, lợi ích hợp pháp của đảng viên được bảo vệ theo quy định của pháp luật. Cấp uỷ, tổ chức đảng không đặt thêm điều kiện, thủ tục hạn chế quyền đầu tư kinh doanh hợp pháp của đảng viên ngoài những điều kiện, thủ tục quy định tại Quy định này và hướng dẫn của Ban Bí thư.  </w:t>
      </w:r>
    </w:p>
    <w:p w14:paraId="22194B66" w14:textId="77777777" w:rsidR="00400AA6" w:rsidRPr="00A23690" w:rsidRDefault="00297F9F" w:rsidP="0047263F">
      <w:pPr>
        <w:widowControl w:val="0"/>
        <w:spacing w:before="60" w:line="360" w:lineRule="exact"/>
        <w:ind w:firstLine="567"/>
        <w:jc w:val="both"/>
        <w:rPr>
          <w:rFonts w:cs="Times New Roman"/>
          <w:bCs/>
          <w:spacing w:val="-2"/>
          <w:szCs w:val="28"/>
        </w:rPr>
      </w:pPr>
      <w:r w:rsidRPr="00A23690">
        <w:rPr>
          <w:rFonts w:cs="Times New Roman"/>
          <w:bCs/>
          <w:spacing w:val="-2"/>
          <w:szCs w:val="28"/>
        </w:rPr>
        <w:t xml:space="preserve">(3) Quyền, giới hạn và thực hiện kiểm soát xung đột lợi ích áp dụng theo chức danh, vị trí công tác, chức trách, nhiệm vụ được giao. Đảng viên giữ nhiều chức danh, thực hiện nhiều nhiệm vụ hoặc thuộc nhiều nhóm đối tượng phải tuân thủ giới hạn tương ứng với từng chức danh, nhiệm vụ, nhóm đối tượng, bảo đảm yêu cầu kiểm soát xung đột lợi ích, bảo vệ bí mật nhà nước, bí mật công tác theo quy định. </w:t>
      </w:r>
    </w:p>
    <w:p w14:paraId="3F6E46B2"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(4) Đảng viên trong khu vực công không được sử dụng trái quy định tài sản nhà nước, thông tin, dữ liệu, nhân lực, kết quả nghiên cứu và các nguồn lực công khác để phục vụ hoạt động đầu tư kinh doanh của bản thân, người có liên quan hoặc nhóm lợi ích; không được đầu tư kinh doanh vào tổ chức kinh tế, lĩnh vực mà mình trực tiếp quyết định, quản lý; không được để hoạt động đầu tư kinh doanh ảnh hưởng đến việc hoàn thành chức trách, nhiệm vụ được giao.</w:t>
      </w:r>
    </w:p>
    <w:p w14:paraId="049AEED0"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(5) Việc chấp thuận đảng viên tham gia hoạt động đầu tư kinh doanh do cấp có thẩm quyền quyết định theo phân cấp quản lý cán bộ. Chấp thuận theo Quy định này là yêu cầu trong nội bộ Đảng, không thay thế điều kiện, trình tự, thủ tục theo quy định của pháp luật. </w:t>
      </w:r>
    </w:p>
    <w:p w14:paraId="46C8545D"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Cs/>
          <w:szCs w:val="28"/>
        </w:rPr>
        <w:t>3. V</w:t>
      </w:r>
      <w:r w:rsidRPr="00A23690">
        <w:rPr>
          <w:rFonts w:cs="Times New Roman"/>
          <w:b/>
          <w:szCs w:val="28"/>
        </w:rPr>
        <w:t>ề phân loại hoạt động đầu tư kinh doanh</w:t>
      </w:r>
    </w:p>
    <w:p w14:paraId="0E595379"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Hoạt động đầu tư kinh doanh được phân thành </w:t>
      </w:r>
      <w:r w:rsidRPr="00A23690">
        <w:rPr>
          <w:rFonts w:cs="Times New Roman"/>
          <w:bCs/>
          <w:szCs w:val="28"/>
        </w:rPr>
        <w:t>04</w:t>
      </w:r>
      <w:r w:rsidRPr="00A23690">
        <w:rPr>
          <w:rFonts w:cs="Times New Roman"/>
          <w:szCs w:val="28"/>
        </w:rPr>
        <w:t xml:space="preserve"> loại, gồm: </w:t>
      </w:r>
      <w:r w:rsidRPr="00A23690">
        <w:rPr>
          <w:rFonts w:cs="Times New Roman"/>
          <w:bCs/>
          <w:szCs w:val="28"/>
        </w:rPr>
        <w:t xml:space="preserve">(1) Hoạt động chuyên môn và khai thác tài sản tạo thu nhập; (2) Đầu tư kinh doanh nhưng không đầu tư thành lập tổ chức kinh tế và không chi phối, quản lý, điều hành; (3) Đầu tư kinh doanh có đầu tư thành lập tổ chức kinh tế hoặc có chi phối nhưng không quản </w:t>
      </w:r>
      <w:r w:rsidRPr="00A23690">
        <w:rPr>
          <w:rFonts w:cs="Times New Roman"/>
          <w:bCs/>
          <w:szCs w:val="28"/>
        </w:rPr>
        <w:lastRenderedPageBreak/>
        <w:t>lý, điều hành; (4) Đầu tư kinh doanh có tham gia quản lý, điều hành, kể cả trường hợp có đầu tư thành lập tổ chức kinh tế hoặc có chi phối.</w:t>
      </w:r>
      <w:r w:rsidRPr="00A23690">
        <w:rPr>
          <w:rFonts w:cs="Times New Roman"/>
          <w:szCs w:val="28"/>
        </w:rPr>
        <w:t xml:space="preserve"> </w:t>
      </w:r>
    </w:p>
    <w:p w14:paraId="13E3FAB6" w14:textId="77777777" w:rsidR="00400AA6" w:rsidRPr="00A23690" w:rsidRDefault="00297F9F" w:rsidP="0047263F">
      <w:pPr>
        <w:widowControl w:val="0"/>
        <w:spacing w:before="60" w:line="360" w:lineRule="exact"/>
        <w:ind w:firstLine="567"/>
        <w:jc w:val="both"/>
        <w:rPr>
          <w:rFonts w:ascii="Times New Roman Bold" w:hAnsi="Times New Roman Bold" w:cs="Times New Roman" w:hint="eastAsia"/>
          <w:b/>
          <w:i/>
          <w:spacing w:val="-8"/>
          <w:szCs w:val="28"/>
        </w:rPr>
      </w:pPr>
      <w:r w:rsidRPr="00A23690">
        <w:rPr>
          <w:rFonts w:ascii="Times New Roman Bold" w:hAnsi="Times New Roman Bold" w:cs="Times New Roman"/>
          <w:b/>
          <w:spacing w:val="-8"/>
          <w:szCs w:val="28"/>
        </w:rPr>
        <w:t>4. Về</w:t>
      </w:r>
      <w:r w:rsidRPr="00A23690">
        <w:rPr>
          <w:rFonts w:ascii="Times New Roman Bold" w:hAnsi="Times New Roman Bold" w:cs="Times New Roman"/>
          <w:b/>
          <w:i/>
          <w:spacing w:val="-8"/>
          <w:szCs w:val="28"/>
        </w:rPr>
        <w:t xml:space="preserve"> </w:t>
      </w:r>
      <w:r w:rsidRPr="00A23690">
        <w:rPr>
          <w:rFonts w:ascii="Times New Roman Bold" w:hAnsi="Times New Roman Bold" w:cs="Times New Roman"/>
          <w:b/>
          <w:spacing w:val="-8"/>
          <w:szCs w:val="28"/>
        </w:rPr>
        <w:t>quyền tham gia hoạt động đầu tư kinh doanh theo từng nhóm đảng viên:</w:t>
      </w:r>
      <w:r w:rsidRPr="00A23690">
        <w:rPr>
          <w:rFonts w:ascii="Times New Roman Bold" w:hAnsi="Times New Roman Bold" w:cs="Times New Roman"/>
          <w:b/>
          <w:i/>
          <w:spacing w:val="-8"/>
          <w:szCs w:val="28"/>
        </w:rPr>
        <w:t xml:space="preserve"> </w:t>
      </w:r>
    </w:p>
    <w:p w14:paraId="2C15E2F9"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Việc tham gia hoạt động đầu tư kinh doanh của đảng viên được quy định theo 06 nhóm, gồm: </w:t>
      </w:r>
    </w:p>
    <w:p w14:paraId="5EB12F8A"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
          <w:szCs w:val="28"/>
        </w:rPr>
        <w:t>- Nhóm 1: Đối với đảng viên ngoài khu vực công</w:t>
      </w:r>
      <w:r w:rsidRPr="00A23690">
        <w:rPr>
          <w:rFonts w:cs="Times New Roman"/>
          <w:b/>
          <w:szCs w:val="28"/>
        </w:rPr>
        <w:t xml:space="preserve"> </w:t>
      </w:r>
      <w:r w:rsidRPr="00A23690">
        <w:rPr>
          <w:rFonts w:cs="Times New Roman"/>
          <w:szCs w:val="28"/>
        </w:rPr>
        <w:t xml:space="preserve">(được quy định tại Điều 5): </w:t>
      </w:r>
    </w:p>
    <w:p w14:paraId="4E79AD1B"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 Được thực hiện tất cả các hoạt động đầu tư kinh doanh theo Quy định và hoạt động đầu tư kinh doanh khác mà pháp luật không cấm không phải xin chấp thuận của tổ chức đảng. </w:t>
      </w:r>
    </w:p>
    <w:p w14:paraId="2CF2B4D5"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 Trường hợp được giao thực hiện nhiệm vụ công, đảng viên không được lợi dụng tư cách đảng viên, chức vụ trong Đảng hoặc quan hệ với cơ quan, tổ chức, cá nhân có thẩm quyền để tạo lợi thế bất bình đẳng, tác động trái quy định, phục vụ lợi ích riêng, lợi ích nhóm; không được xử lý công việc, nhiệm vụ có xung đột lợi ích chưa được kiểm soát hoặc làm ảnh hưởng tiêu cực đến việc thực hiện nhiệm vụ công được giao. </w:t>
      </w:r>
    </w:p>
    <w:p w14:paraId="761028EA" w14:textId="77777777" w:rsidR="00400AA6" w:rsidRPr="00A23690" w:rsidRDefault="00297F9F" w:rsidP="0047263F">
      <w:pPr>
        <w:widowControl w:val="0"/>
        <w:spacing w:before="60" w:line="360" w:lineRule="exact"/>
        <w:ind w:firstLine="567"/>
        <w:jc w:val="both"/>
        <w:rPr>
          <w:rFonts w:cs="Times New Roman"/>
          <w:bCs/>
          <w:szCs w:val="28"/>
        </w:rPr>
      </w:pPr>
      <w:r w:rsidRPr="00A23690">
        <w:rPr>
          <w:rFonts w:cs="Times New Roman"/>
          <w:bCs/>
          <w:szCs w:val="28"/>
        </w:rPr>
        <w:t xml:space="preserve">+ Cấp uỷ, tổ chức đảng, cấp có thẩm quyền có cơ chế phát hiện, thu hút, bồi dưỡng, trọng dụng đảng viên ngoài khu vực công tiêu biểu trong hoạt động đầu tư kinh doanh tham gia khu vực công, gắn với kiểm soát xung đột lợi ích. </w:t>
      </w:r>
    </w:p>
    <w:p w14:paraId="64FE9B88"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
          <w:szCs w:val="28"/>
        </w:rPr>
        <w:t>- Nhóm 2: Đối với đảng viên là cán bộ, công chức</w:t>
      </w:r>
      <w:r w:rsidRPr="00A23690">
        <w:rPr>
          <w:rFonts w:cs="Times New Roman"/>
          <w:b/>
          <w:szCs w:val="28"/>
        </w:rPr>
        <w:t xml:space="preserve"> </w:t>
      </w:r>
      <w:r w:rsidRPr="00A23690">
        <w:rPr>
          <w:rFonts w:cs="Times New Roman"/>
          <w:szCs w:val="28"/>
        </w:rPr>
        <w:t xml:space="preserve">(được quy định tại Điều 6 và Điều 7), bao gồm đảng viên là cán bộ thuộc diện Bộ Chính trị, Ban Bí thư quản lý và đảng viên là cán bộ, công chức không thuộc diện Bộ Chính trị, Ban Bí thư quản lý đều được làm và không phải xin chấp thuận đối với: hoạt động chuyên môn và khai thác tài sản tạo thu nhập; đầu tư kinh doanh nhưng không đầu tư thành lập tổ chức kinh tế và không chi phối, quản lý, điều hành. </w:t>
      </w:r>
    </w:p>
    <w:p w14:paraId="16A19A6F"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Đối với đảng viên là cán bộ, công chức không thuộc diện Bộ Chính trị, Ban Bí thư quản lý, không ở vị trí có nguy cơ cao xung đột lợi ích còn được đầu tư thành lập tổ chức kinh tế, được đầu tư chi phối nhưng phải được chấp thuận. </w:t>
      </w:r>
    </w:p>
    <w:p w14:paraId="50AE48A0"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Quy định nêu rõ tất cả các cán bộ, công chức đều không được tham gia quản lý, điều hành bất kỳ hình thức đầu tư nào. Riêng đối với đảng viên là cán bộ thuộc diện Bộ Chính trị, Ban Bí thư quản lý và cán bộ, công chức ở vị trí, lĩnh vực có nguy cơ cao phát sinh xung đột lợi ích còn không được đầu tư thành lập tổ chức kinh tế, giữ cổ phần chi phối và quản lý, điều hành. </w:t>
      </w:r>
    </w:p>
    <w:p w14:paraId="4924F3B9"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
          <w:szCs w:val="28"/>
        </w:rPr>
        <w:t>- Nhóm 3: Đối với đảng viên là viên chức</w:t>
      </w:r>
      <w:r w:rsidRPr="00A23690">
        <w:rPr>
          <w:rFonts w:cs="Times New Roman"/>
          <w:b/>
          <w:szCs w:val="28"/>
        </w:rPr>
        <w:t xml:space="preserve"> </w:t>
      </w:r>
      <w:r w:rsidRPr="00A23690">
        <w:rPr>
          <w:rFonts w:cs="Times New Roman"/>
          <w:szCs w:val="28"/>
        </w:rPr>
        <w:t>(được quy định tại Điều 8):</w:t>
      </w:r>
    </w:p>
    <w:p w14:paraId="29A6D2A1"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 Được làm và không phải xin chấp thuận đối với: Hoạt động chuyên môn và khai thác tài sản tạo thu nhập; đầu tư kinh doanh nhưng không đầu tư thành lập tổ chức kinh tế và không chi phối, quản lý, điều hành; riêng viên chức không ở vị trí, lĩnh vực có nguy cơ cao phát sinh xung đột lợi ích còn được thực hiện đầu tư kinh doanh có đầu tư thành lập tổ chức kinh tế hoặc có chi phối nhưng không quản lý, </w:t>
      </w:r>
      <w:r w:rsidRPr="00A23690">
        <w:rPr>
          <w:rFonts w:cs="Times New Roman"/>
          <w:szCs w:val="28"/>
        </w:rPr>
        <w:lastRenderedPageBreak/>
        <w:t xml:space="preserve">điều hành. </w:t>
      </w:r>
    </w:p>
    <w:p w14:paraId="7FEB3CD5"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Về các hoạt động được làm sau khi được chấp thuận, Quy định nêu rõ: Viên chức không giữ chức vụ quản lý và không ở vị trí, lĩnh vực có nguy cơ cao phát sinh xung đột lợi ích được thực hiện hoạt động đầu tư kinh doanh có tham gia quản lý, điều hành, kể cả trường hợp có đầu tư thành lập tổ chức kinh tế hoặc có chi phối nhưng phải bảo đảm không làm ảnh hưởng đến việc thực hiện chức trách, nhiệm vụ, chất lượng dịch vụ công; viên chức không giữ chức vụ quản lý được tạm thời rời vị trí công tác để đầu tư thành lập tổ chức kinh tế, đầu tư chi phối, quản lý, điều hành tổ chức kinh tế.  </w:t>
      </w:r>
    </w:p>
    <w:p w14:paraId="7E89A91E"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Về nội dung không được làm đối với viên chức, thực hiện nguyên tắc quản lý chặt chẽ hơn đối với vị trí, lĩnh vực có nguy cơ cao xung đột lợi ích, theo đó: viên chức ở vị trí, lĩnh vực có nguy cơ cao phát sinh xung đột lợi ích không được đầu tư thành lập tổ chức kinh tế, đầu tư chi phối và quản lý, điều hành; viên chức giữ chức vụ quản lý không được đồng thời quản lý, điều hành tổ chức kinh tế, trừ trường hợp được cử tham gia quản lý hoặc làm đại diện phần vốn, tài sản của đơn vị tại tổ chức kinh tế theo quy định của pháp luật. </w:t>
      </w:r>
    </w:p>
    <w:p w14:paraId="0229D9EA"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w:t>
      </w:r>
      <w:r w:rsidRPr="00A23690">
        <w:rPr>
          <w:rFonts w:cs="Times New Roman"/>
          <w:b/>
          <w:i/>
          <w:szCs w:val="28"/>
        </w:rPr>
        <w:t>Nhóm 4: Đối với</w:t>
      </w:r>
      <w:r w:rsidRPr="00A23690">
        <w:rPr>
          <w:rFonts w:cs="Times New Roman"/>
          <w:i/>
          <w:szCs w:val="28"/>
        </w:rPr>
        <w:t xml:space="preserve"> </w:t>
      </w:r>
      <w:r w:rsidRPr="00A23690">
        <w:rPr>
          <w:rFonts w:cs="Times New Roman"/>
          <w:b/>
          <w:i/>
          <w:szCs w:val="28"/>
        </w:rPr>
        <w:t>đảng viên đang công tác, phục vụ trong Quân đội nhân dân, Công an nhân dân</w:t>
      </w:r>
      <w:r w:rsidRPr="00A23690">
        <w:rPr>
          <w:rFonts w:cs="Times New Roman"/>
          <w:b/>
          <w:szCs w:val="28"/>
        </w:rPr>
        <w:t xml:space="preserve"> </w:t>
      </w:r>
      <w:r w:rsidRPr="00A23690">
        <w:rPr>
          <w:rFonts w:cs="Times New Roman"/>
          <w:szCs w:val="28"/>
        </w:rPr>
        <w:t>(được quy định tại Điều 9):</w:t>
      </w:r>
    </w:p>
    <w:p w14:paraId="1A999CC8" w14:textId="77777777" w:rsidR="00400AA6" w:rsidRPr="00AE26DE" w:rsidRDefault="00297F9F" w:rsidP="0047263F">
      <w:pPr>
        <w:widowControl w:val="0"/>
        <w:spacing w:before="60" w:line="360" w:lineRule="exact"/>
        <w:ind w:firstLine="567"/>
        <w:jc w:val="both"/>
        <w:rPr>
          <w:rFonts w:cs="Times New Roman"/>
          <w:spacing w:val="-2"/>
          <w:szCs w:val="28"/>
        </w:rPr>
      </w:pPr>
      <w:r w:rsidRPr="00AE26DE">
        <w:rPr>
          <w:rFonts w:cs="Times New Roman"/>
          <w:spacing w:val="-2"/>
          <w:szCs w:val="28"/>
        </w:rPr>
        <w:t xml:space="preserve">+ Được làm và không phải xin chấp thuận khi thực hiện: hoạt động chuyên môn và khai thác tài sản tạo thu nhập; đầu tư kinh doanh nhưng không đầu tư thành lập tổ chức kinh tế và không chi phối, quản lý, điều hành.  Riêng đảng viên không ở vị trí, lĩnh vực có nguy cơ cao phát sinh xung đột lợi ích được mở rộng quyền hơn, theo đó, được thực hiện hoạt động đầu tư kinh doanh có đầu tư thành lập tổ chức kinh tế hoặc có chi phối nhưng không quản lý, điều hành sau khi được chấp thuận. Việc thực hiện các hoạt động đầu tư kinh doanh phải bảo đảm bí mật nhà nước, bí mật công tác, không phương hại đến quốc phòng, an ninh theo quy định. </w:t>
      </w:r>
    </w:p>
    <w:p w14:paraId="12207609"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Về nội dung không được làm, Quy định nêu rõ: Đảng viên công tác tại vị trí, lĩnh vực có nguy cơ cao phát sinh xung đột lợi ích không được đầu tư thành lập tổ chức kinh tế, đầu tư chi phối và quản lý, điều hành. Trong thời gian công tác, phục vụ, đảng viên không được quản lý, điều hành tổ chức kinh tế, trừ trường hợp được cấp có thẩm quyền phân công, giao nhiệm vụ. </w:t>
      </w:r>
    </w:p>
    <w:p w14:paraId="025CE56E"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
          <w:szCs w:val="28"/>
        </w:rPr>
        <w:t>- Nhóm 5: Đối với đảng viên người quản lý doanh nghiệp nhà nước, người đại diện phần vốn nhà nước</w:t>
      </w:r>
      <w:r w:rsidRPr="00A23690">
        <w:rPr>
          <w:rFonts w:cs="Times New Roman"/>
          <w:b/>
          <w:szCs w:val="28"/>
        </w:rPr>
        <w:t xml:space="preserve"> </w:t>
      </w:r>
      <w:r w:rsidRPr="00A23690">
        <w:rPr>
          <w:rFonts w:cs="Times New Roman"/>
          <w:szCs w:val="28"/>
        </w:rPr>
        <w:t>(quy định tại Điều 10):</w:t>
      </w:r>
    </w:p>
    <w:p w14:paraId="40DA5C3E"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Được làm và không phải xin chấp thuận đối với hoạt động chuyên môn và khai thác tài sản tạo thu nhập; đầu tư kinh doanh nhưng không đầu tư thành lập tổ chức kinh tế và không chi phối, quản lý, điều hành; mua, nhận, nắm giữ cổ phần, phần vốn góp và thực hiện các quyền của cổ đông, thành viên tại doanh nghiệp do đảng viên là người quản lý hoặc đại diện phần vốn nhà nước theo quy định của pháp luật. Tuy nhiên, việc thực hiện quyền đối với phần vốn cá nhân phải tách </w:t>
      </w:r>
      <w:r w:rsidRPr="00A23690">
        <w:rPr>
          <w:rFonts w:cs="Times New Roman"/>
          <w:szCs w:val="28"/>
        </w:rPr>
        <w:lastRenderedPageBreak/>
        <w:t xml:space="preserve">bạch với chức trách quản lý, đại diện phần vốn nhà nước và bảo đảm kiểm soát xung đột lợi ích.  Được đầu tư thành lập tổ chức kinh tế, đầu tư chi phối và quản lý, điều hành sau khi được chấp thuận. </w:t>
      </w:r>
    </w:p>
    <w:p w14:paraId="1411819B"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Nội dung không được làm: Đầu tư kinh doanh trong ngành, lĩnh vực có lợi ích liên quan trực tiếp đến doanh nghiệp nhà nước mà đảng viên đó quản lý hoặc đại diện phần vốn nhà nước, trừ trường hợp mua, nhận, nắm giữ cổ phần, phần vốn góp và thực hiện các quyền của cổ đông, thành viên tại doanh nghiệp do đảng viên là người quản lý hoặc đại diện phần vốn nhà nước theo quy định của pháp luật.  </w:t>
      </w:r>
    </w:p>
    <w:p w14:paraId="7EA5E1EF"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b/>
          <w:i/>
          <w:szCs w:val="28"/>
        </w:rPr>
        <w:t>- Nhóm 6: Đối với đảng</w:t>
      </w:r>
      <w:r w:rsidRPr="00A23690">
        <w:rPr>
          <w:rFonts w:cs="Times New Roman"/>
          <w:i/>
          <w:szCs w:val="28"/>
        </w:rPr>
        <w:t xml:space="preserve"> </w:t>
      </w:r>
      <w:r w:rsidRPr="00A23690">
        <w:rPr>
          <w:rFonts w:cs="Times New Roman"/>
          <w:b/>
          <w:i/>
          <w:szCs w:val="28"/>
        </w:rPr>
        <w:t>viên sau khi thôi giữ chức vụ, thôi công tác, nghỉ hưu</w:t>
      </w:r>
      <w:r w:rsidRPr="00A23690">
        <w:rPr>
          <w:rFonts w:cs="Times New Roman"/>
          <w:b/>
          <w:szCs w:val="28"/>
        </w:rPr>
        <w:t xml:space="preserve"> </w:t>
      </w:r>
      <w:r w:rsidRPr="00A23690">
        <w:rPr>
          <w:rFonts w:cs="Times New Roman"/>
          <w:szCs w:val="28"/>
        </w:rPr>
        <w:t xml:space="preserve">(được quy định tại Điều 11): </w:t>
      </w:r>
    </w:p>
    <w:p w14:paraId="3CD98ABB"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Đảng viên sau khi thôi giữ chức vụ, thôi công tác, nghỉ hưu và không còn công tác trong khu vực công, </w:t>
      </w:r>
      <w:r w:rsidRPr="00A23690">
        <w:rPr>
          <w:rFonts w:cs="Times New Roman"/>
          <w:bCs/>
          <w:szCs w:val="28"/>
        </w:rPr>
        <w:t>được thực hiện tấ</w:t>
      </w:r>
      <w:r w:rsidRPr="00A23690">
        <w:rPr>
          <w:rFonts w:cs="Times New Roman"/>
          <w:szCs w:val="28"/>
        </w:rPr>
        <w:t xml:space="preserve">t cả các hoạt động đầu tư, kinh doanh theo quy định như đảng viên ngoài khu vực công, trừ các hoạt động bị hạn chế có liên quan đến lĩnh vực, công việc đã phụ trách trong phạm vi và thời hạn theo quy định của pháp luật. </w:t>
      </w:r>
    </w:p>
    <w:p w14:paraId="00ABF9FC"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w:t>
      </w:r>
      <w:r w:rsidRPr="00A23690">
        <w:rPr>
          <w:rFonts w:cs="Times New Roman"/>
          <w:bCs/>
          <w:szCs w:val="28"/>
        </w:rPr>
        <w:t xml:space="preserve">Trường hợp đảng viên thôi giữ chức vụ nhưng tiếp tục công tác trong khu vực công thì </w:t>
      </w:r>
      <w:r w:rsidRPr="00A23690">
        <w:rPr>
          <w:rFonts w:cs="Times New Roman"/>
          <w:szCs w:val="28"/>
        </w:rPr>
        <w:t xml:space="preserve">thực hiện quyền, nghĩa vụ và trách nhiệm theo chức danh, vị trí công tác mới được giao; đồng thời tuân thủ các hạn chế liên quan đến lĩnh vực, công việc đã phụ trách. </w:t>
      </w:r>
    </w:p>
    <w:p w14:paraId="60A1E80D" w14:textId="77777777" w:rsidR="00400AA6" w:rsidRPr="00A23690" w:rsidRDefault="00297F9F" w:rsidP="0047263F">
      <w:pPr>
        <w:widowControl w:val="0"/>
        <w:numPr>
          <w:ilvl w:val="0"/>
          <w:numId w:val="8"/>
        </w:numPr>
        <w:spacing w:before="60" w:line="360" w:lineRule="exact"/>
        <w:ind w:firstLine="567"/>
        <w:jc w:val="both"/>
        <w:rPr>
          <w:rFonts w:cs="Times New Roman"/>
          <w:b/>
          <w:szCs w:val="28"/>
        </w:rPr>
      </w:pPr>
      <w:r w:rsidRPr="00A23690">
        <w:rPr>
          <w:rFonts w:cs="Times New Roman"/>
          <w:b/>
          <w:szCs w:val="28"/>
        </w:rPr>
        <w:t>Về yêu cầu trong kiểm soát xung đột lợi ích</w:t>
      </w:r>
      <w:r w:rsidRPr="00A23690">
        <w:rPr>
          <w:rFonts w:cs="Times New Roman"/>
          <w:szCs w:val="28"/>
        </w:rPr>
        <w:t xml:space="preserve"> (được quy định tại Điều 12):  Quy định mới quy định việc nhận diện, đánh giá xung đột lợi ích; trách nhiệm của đảng viên khi phát sinh xung đột lợi ích hoặc khi cấp có thẩm quyền phát hiện và yêu cầu; trách nhiệm của cấp có thẩm quyền xem xét, quyết định biện pháp kiểm soát xung đột lợi ích; trách nhiệm của cơ quan, tổ chức liên quan trong chia sẻ, khai thác, sử dụng thông tin, dữ liệu, hồ sơ quản lý theo thẩm quyền. </w:t>
      </w:r>
    </w:p>
    <w:p w14:paraId="1EE50AC0" w14:textId="77777777" w:rsidR="003E3954" w:rsidRPr="00A23690" w:rsidRDefault="00297F9F" w:rsidP="0047263F">
      <w:pPr>
        <w:widowControl w:val="0"/>
        <w:numPr>
          <w:ilvl w:val="0"/>
          <w:numId w:val="8"/>
        </w:numPr>
        <w:spacing w:before="60" w:line="360" w:lineRule="exact"/>
        <w:ind w:firstLine="567"/>
        <w:jc w:val="both"/>
        <w:rPr>
          <w:rFonts w:cs="Times New Roman"/>
          <w:b/>
          <w:szCs w:val="28"/>
        </w:rPr>
      </w:pPr>
      <w:r w:rsidRPr="00A23690">
        <w:rPr>
          <w:rFonts w:cs="Times New Roman"/>
          <w:b/>
          <w:szCs w:val="28"/>
        </w:rPr>
        <w:t xml:space="preserve">Về tổ chức thực hiện </w:t>
      </w:r>
      <w:r w:rsidRPr="00A23690">
        <w:rPr>
          <w:rFonts w:cs="Times New Roman"/>
          <w:szCs w:val="28"/>
        </w:rPr>
        <w:t>(được quy định tại Điều 13 và Điều 14)</w:t>
      </w:r>
      <w:r w:rsidR="00C62141" w:rsidRPr="00A23690">
        <w:rPr>
          <w:rFonts w:cs="Times New Roman"/>
          <w:szCs w:val="28"/>
        </w:rPr>
        <w:t xml:space="preserve">: </w:t>
      </w:r>
    </w:p>
    <w:p w14:paraId="52C8B8B2" w14:textId="1A6EF3E1" w:rsidR="003E3954" w:rsidRPr="00A23690" w:rsidRDefault="0047263F" w:rsidP="0047263F">
      <w:pPr>
        <w:widowControl w:val="0"/>
        <w:spacing w:before="60" w:line="360" w:lineRule="exact"/>
        <w:ind w:firstLine="567"/>
        <w:jc w:val="both"/>
        <w:rPr>
          <w:rStyle w:val="fontstyle01"/>
          <w:rFonts w:ascii="Times New Roman" w:hAnsi="Times New Roman" w:cs="Times New Roman"/>
          <w:b/>
          <w:color w:val="FF0000"/>
        </w:rPr>
      </w:pPr>
      <w:r>
        <w:rPr>
          <w:rStyle w:val="fontstyle01"/>
          <w:rFonts w:ascii="Times New Roman" w:hAnsi="Times New Roman" w:cs="Times New Roman"/>
          <w:color w:val="FF0000"/>
        </w:rPr>
        <w:t xml:space="preserve">- </w:t>
      </w:r>
      <w:r w:rsidR="003E3954" w:rsidRPr="00A23690">
        <w:rPr>
          <w:rStyle w:val="fontstyle01"/>
          <w:rFonts w:ascii="Times New Roman" w:hAnsi="Times New Roman" w:cs="Times New Roman"/>
          <w:color w:val="FF0000"/>
        </w:rPr>
        <w:t>Để tổ chức thực hiện</w:t>
      </w:r>
      <w:r w:rsidR="00E65948" w:rsidRPr="00A23690">
        <w:rPr>
          <w:rStyle w:val="fontstyle01"/>
          <w:rFonts w:ascii="Times New Roman" w:hAnsi="Times New Roman" w:cs="Times New Roman"/>
          <w:color w:val="FF0000"/>
        </w:rPr>
        <w:t>,</w:t>
      </w:r>
      <w:r w:rsidR="003E3954" w:rsidRPr="00A23690">
        <w:rPr>
          <w:rStyle w:val="fontstyle01"/>
          <w:rFonts w:ascii="Times New Roman" w:hAnsi="Times New Roman" w:cs="Times New Roman"/>
          <w:color w:val="FF0000"/>
        </w:rPr>
        <w:t xml:space="preserve"> Quy định giao Ban Bí thư ban hành hướng dẫn Quy định thực hiện thống nhất trong toàn Đảng; giao các Ban Đảng, Đảng ủy Chính phủ, Đảng ủy Quốc hội, Quân ủy Trung ương, Đảng ủy Công an Trung ương, cấp uỷ, tổ chức đảng các cấp thực hiện các nhiệm vụ theo chức năng, nhiệm vụ và theo phân công.</w:t>
      </w:r>
    </w:p>
    <w:p w14:paraId="4EB12EC6" w14:textId="1EFEFC8A" w:rsidR="003E3954" w:rsidRPr="00A23690" w:rsidRDefault="0047263F" w:rsidP="0047263F">
      <w:pPr>
        <w:widowControl w:val="0"/>
        <w:spacing w:before="60" w:line="360" w:lineRule="exact"/>
        <w:ind w:firstLine="567"/>
        <w:jc w:val="both"/>
        <w:rPr>
          <w:rFonts w:cs="Times New Roman"/>
          <w:b/>
          <w:color w:val="FF0000"/>
          <w:szCs w:val="28"/>
        </w:rPr>
      </w:pPr>
      <w:r>
        <w:rPr>
          <w:rStyle w:val="fontstyle01"/>
          <w:rFonts w:ascii="Times New Roman" w:hAnsi="Times New Roman" w:cs="Times New Roman"/>
          <w:color w:val="FF0000"/>
        </w:rPr>
        <w:t xml:space="preserve">- </w:t>
      </w:r>
      <w:r w:rsidR="003E3954" w:rsidRPr="00A23690">
        <w:rPr>
          <w:rStyle w:val="fontstyle01"/>
          <w:rFonts w:ascii="Times New Roman" w:hAnsi="Times New Roman" w:cs="Times New Roman"/>
          <w:color w:val="FF0000"/>
        </w:rPr>
        <w:t xml:space="preserve">Để bảo đảm tính kế thừa, ổn định, </w:t>
      </w:r>
      <w:r w:rsidR="00AE26DE">
        <w:rPr>
          <w:rStyle w:val="fontstyle01"/>
          <w:rFonts w:ascii="Times New Roman" w:hAnsi="Times New Roman" w:cs="Times New Roman"/>
          <w:color w:val="FF0000"/>
        </w:rPr>
        <w:t xml:space="preserve">tại Điều 14 </w:t>
      </w:r>
      <w:r w:rsidR="003E3954" w:rsidRPr="00A23690">
        <w:rPr>
          <w:rStyle w:val="fontstyle01"/>
          <w:rFonts w:ascii="Times New Roman" w:hAnsi="Times New Roman" w:cs="Times New Roman"/>
          <w:color w:val="FF0000"/>
        </w:rPr>
        <w:t>quy định rõ hiệu lực thi hành và các điều kiện chuyển tiếp.</w:t>
      </w:r>
    </w:p>
    <w:p w14:paraId="221D6AD9" w14:textId="77777777" w:rsidR="00400AA6" w:rsidRPr="00A23690" w:rsidRDefault="00297F9F" w:rsidP="0047263F">
      <w:pPr>
        <w:widowControl w:val="0"/>
        <w:numPr>
          <w:ilvl w:val="0"/>
          <w:numId w:val="7"/>
        </w:numPr>
        <w:spacing w:before="60" w:line="360" w:lineRule="exact"/>
        <w:ind w:firstLine="567"/>
        <w:jc w:val="both"/>
        <w:rPr>
          <w:rFonts w:cs="Times New Roman"/>
          <w:b/>
          <w:szCs w:val="28"/>
        </w:rPr>
      </w:pPr>
      <w:r w:rsidRPr="00A23690">
        <w:rPr>
          <w:rFonts w:cs="Times New Roman"/>
          <w:b/>
          <w:szCs w:val="28"/>
        </w:rPr>
        <w:t>LIÊN HỆ CƠ SỞ</w:t>
      </w:r>
    </w:p>
    <w:p w14:paraId="5D98B92F"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 Đối với cấp ủy, tổ chức đảng cần tổ chức quán triệt, hướng dẫn đảng viên xác định đúng quyền, điều kiện và giới hạn tham gia đầu tư, kinh doanh theo chức danh, vị trí công tác, nhiệm vụ được giao; thực hiện việc xem xét, chấp thuận đúng thẩm quyền đối với trường hợp phải được chấp thuận. Không đặt thêm điều kiện, </w:t>
      </w:r>
      <w:r w:rsidRPr="00A23690">
        <w:rPr>
          <w:rFonts w:cs="Times New Roman"/>
          <w:szCs w:val="28"/>
        </w:rPr>
        <w:lastRenderedPageBreak/>
        <w:t>thủ tục hạn chế quyền đầu tư, kinh doanh hợp pháp của đảng viên. Tăng cường theo dõi, kiểm tra, giám sát, kịp thời phát hiện, xử lý hoặc báo cáo cấp có thẩm quyền xử lý xung đột lợi ích, vi phạm; đồng thời biểu dương, nhân rộng những điển hình kinh doanh có trách nhiệm, đóng góp tích cực cho địa phương.</w:t>
      </w:r>
    </w:p>
    <w:p w14:paraId="47051C50"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Đối với đảng viên, phải chủ động tìm hiểu, tuân thủ Quy định và pháp luật; thực hiện đúng thủ tục chấp thuận khi thuộc diện yêu cầu, kịp thời báo cáo khi phát sinh xung đột lợi ích và chấp hành biện pháp kiểm soát của cấp có thẩm quyền. Không lợi dụng tư cách đảng viên, chức vụ, quyền hạn hoặc sử dụng trái quy định nguồn lực công để vụ lợi; không để hoạt động đầu tư, kinh doanh ảnh hưởng đến việc hoàn thành nhiệm vụ được giao. Gương mẫu thực hiện nghĩa vụ với Nhà nước, bảo đảm quyền lợi của người lao động, người tiêu dùng, bảo vệ môi trường và giữ gìn đạo đức kinh doanh.</w:t>
      </w:r>
    </w:p>
    <w:p w14:paraId="2A1BF38B" w14:textId="77777777" w:rsidR="00400AA6" w:rsidRPr="00A23690" w:rsidRDefault="00297F9F" w:rsidP="0047263F">
      <w:pPr>
        <w:widowControl w:val="0"/>
        <w:spacing w:before="60" w:line="360" w:lineRule="exact"/>
        <w:jc w:val="center"/>
        <w:rPr>
          <w:rFonts w:cs="Times New Roman"/>
          <w:szCs w:val="28"/>
        </w:rPr>
      </w:pPr>
      <w:r w:rsidRPr="00A23690">
        <w:rPr>
          <w:rFonts w:cs="Times New Roman"/>
          <w:szCs w:val="28"/>
        </w:rPr>
        <w:t>*</w:t>
      </w:r>
    </w:p>
    <w:p w14:paraId="0D5AE41B" w14:textId="77777777" w:rsidR="00400AA6" w:rsidRPr="00A23690" w:rsidRDefault="00297F9F" w:rsidP="0047263F">
      <w:pPr>
        <w:widowControl w:val="0"/>
        <w:spacing w:before="60" w:line="360" w:lineRule="exact"/>
        <w:ind w:firstLine="567"/>
        <w:jc w:val="both"/>
        <w:rPr>
          <w:rFonts w:cs="Times New Roman"/>
          <w:szCs w:val="28"/>
        </w:rPr>
      </w:pPr>
      <w:r w:rsidRPr="00A23690">
        <w:rPr>
          <w:rFonts w:cs="Times New Roman"/>
          <w:szCs w:val="28"/>
        </w:rPr>
        <w:t xml:space="preserve">Quy định số 224-QĐ/TW thể hiện bước đổi mới quan trọng trong tư duy và phương thức quản lý đảng viên tham gia hoạt động đầu tư, kinh doanh, từ quy định giới hạn chung sang xác lập rõ quyền, giới hạn và trách nhiệm theo từng nhóm; khuyến khích phát huy nguồn lực hợp pháp của đảng viên, đồng thời kiểm soát chặt chẽ xung đột lợi ích và việc sử dụng quyền lực công, nguồn lực công. Tinh thần xuyên suốt của Quy định là khuyến khích đảng viên phát huy năng lực, tham gia đầu tư kinh doanh hợp pháp, làm giàu chính đáng, đóng góp cho xã hội; đồng thời bảo đảm tuân thủ pháp luật, không lợi dụng tư cách đảng viên hoặc quyền lực công để vụ lợi, chủ động kiểm soát xung đột lợi ích và thực hiện nghiêm trách nhiệm nêu gương. </w:t>
      </w:r>
    </w:p>
    <w:p w14:paraId="72ED93A8" w14:textId="77777777" w:rsidR="00400AA6" w:rsidRPr="00A23690" w:rsidRDefault="00400AA6" w:rsidP="0047263F">
      <w:pPr>
        <w:widowControl w:val="0"/>
        <w:spacing w:before="60" w:line="360" w:lineRule="exact"/>
        <w:ind w:firstLine="567"/>
        <w:jc w:val="both"/>
        <w:rPr>
          <w:rFonts w:cs="Times New Roman"/>
          <w:szCs w:val="28"/>
        </w:rPr>
      </w:pPr>
    </w:p>
    <w:sectPr w:rsidR="00400AA6" w:rsidRPr="00A23690" w:rsidSect="00A23690">
      <w:headerReference w:type="default" r:id="rId9"/>
      <w:pgSz w:w="11906" w:h="16841"/>
      <w:pgMar w:top="1134" w:right="851" w:bottom="1134" w:left="1701" w:header="567" w:footer="567"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3AFEB" w14:textId="77777777" w:rsidR="00F73AB8" w:rsidRDefault="00F73AB8">
      <w:pPr>
        <w:spacing w:line="240" w:lineRule="auto"/>
      </w:pPr>
      <w:r>
        <w:separator/>
      </w:r>
    </w:p>
  </w:endnote>
  <w:endnote w:type="continuationSeparator" w:id="0">
    <w:p w14:paraId="127B82AC" w14:textId="77777777" w:rsidR="00F73AB8" w:rsidRDefault="00F73A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2DDE1" w14:textId="77777777" w:rsidR="00F73AB8" w:rsidRDefault="00F73AB8">
      <w:r>
        <w:separator/>
      </w:r>
    </w:p>
  </w:footnote>
  <w:footnote w:type="continuationSeparator" w:id="0">
    <w:p w14:paraId="4379BD64" w14:textId="77777777" w:rsidR="00F73AB8" w:rsidRDefault="00F73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68D6" w14:textId="77777777" w:rsidR="00400AA6" w:rsidRDefault="00297F9F">
    <w:pPr>
      <w:pStyle w:val="Header"/>
    </w:pPr>
    <w:r>
      <w:rPr>
        <w:noProof/>
      </w:rPr>
      <mc:AlternateContent>
        <mc:Choice Requires="wps">
          <w:drawing>
            <wp:anchor distT="0" distB="0" distL="114300" distR="114300" simplePos="0" relativeHeight="251659264" behindDoc="0" locked="0" layoutInCell="1" allowOverlap="1" wp14:anchorId="0937EB50" wp14:editId="414B1E39">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D35974" w14:textId="77777777" w:rsidR="00400AA6" w:rsidRDefault="00297F9F">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937EB50"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9D35974" w14:textId="77777777" w:rsidR="00400AA6" w:rsidRDefault="00297F9F">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BAC488"/>
    <w:multiLevelType w:val="singleLevel"/>
    <w:tmpl w:val="87BAC488"/>
    <w:lvl w:ilvl="0">
      <w:start w:val="1"/>
      <w:numFmt w:val="upperRoman"/>
      <w:suff w:val="space"/>
      <w:lvlText w:val="%1."/>
      <w:lvlJc w:val="left"/>
    </w:lvl>
  </w:abstractNum>
  <w:abstractNum w:abstractNumId="1"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2"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3"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4"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5"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6"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7" w15:restartNumberingAfterBreak="0">
    <w:nsid w:val="6C029043"/>
    <w:multiLevelType w:val="singleLevel"/>
    <w:tmpl w:val="6C029043"/>
    <w:lvl w:ilvl="0">
      <w:start w:val="5"/>
      <w:numFmt w:val="decimal"/>
      <w:suff w:val="space"/>
      <w:lvlText w:val="%1."/>
      <w:lvlJc w:val="left"/>
    </w:lvl>
  </w:abstractNum>
  <w:num w:numId="1" w16cid:durableId="1759789499">
    <w:abstractNumId w:val="6"/>
  </w:num>
  <w:num w:numId="2" w16cid:durableId="1311011647">
    <w:abstractNumId w:val="4"/>
  </w:num>
  <w:num w:numId="3" w16cid:durableId="353121159">
    <w:abstractNumId w:val="3"/>
  </w:num>
  <w:num w:numId="4" w16cid:durableId="450634397">
    <w:abstractNumId w:val="5"/>
  </w:num>
  <w:num w:numId="5" w16cid:durableId="2086681688">
    <w:abstractNumId w:val="2"/>
  </w:num>
  <w:num w:numId="6" w16cid:durableId="45031416">
    <w:abstractNumId w:val="1"/>
  </w:num>
  <w:num w:numId="7" w16cid:durableId="1267031862">
    <w:abstractNumId w:val="0"/>
  </w:num>
  <w:num w:numId="8" w16cid:durableId="12548222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97F9F"/>
    <w:rsid w:val="00326F90"/>
    <w:rsid w:val="003E3954"/>
    <w:rsid w:val="00400AA6"/>
    <w:rsid w:val="0047263F"/>
    <w:rsid w:val="00A23690"/>
    <w:rsid w:val="00AA1D8D"/>
    <w:rsid w:val="00AE26DE"/>
    <w:rsid w:val="00B47730"/>
    <w:rsid w:val="00C62141"/>
    <w:rsid w:val="00CB0664"/>
    <w:rsid w:val="00DA10F2"/>
    <w:rsid w:val="00DC00D8"/>
    <w:rsid w:val="00E65948"/>
    <w:rsid w:val="00F73AB8"/>
    <w:rsid w:val="00FC693F"/>
    <w:rsid w:val="06733B4B"/>
    <w:rsid w:val="071B07B5"/>
    <w:rsid w:val="076E6040"/>
    <w:rsid w:val="0AE962F7"/>
    <w:rsid w:val="1333260E"/>
    <w:rsid w:val="19073D1E"/>
    <w:rsid w:val="19CD0264"/>
    <w:rsid w:val="1CC05BEC"/>
    <w:rsid w:val="1F0A6A21"/>
    <w:rsid w:val="2C80668E"/>
    <w:rsid w:val="34C70517"/>
    <w:rsid w:val="37243605"/>
    <w:rsid w:val="3DE5069A"/>
    <w:rsid w:val="40B065AF"/>
    <w:rsid w:val="4590612D"/>
    <w:rsid w:val="4B835B73"/>
    <w:rsid w:val="55ED318A"/>
    <w:rsid w:val="74920FA4"/>
    <w:rsid w:val="752217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A05350"/>
  <w14:defaultImageDpi w14:val="300"/>
  <w15:docId w15:val="{D2DA7630-B13D-4EE1-B12A-C1440B1D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lsdException w:name="Medium Shading 1 Accent 1" w:uiPriority="63" w:qFormat="1"/>
    <w:lsdException w:name="Medium Shading 2 Accent 1" w:uiPriority="64" w:qFormat="1"/>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lsdException w:name="Dark List Accent 2" w:uiPriority="70" w:qFormat="1"/>
    <w:lsdException w:name="Colorful Shading Accent 2" w:uiPriority="7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eastAsiaTheme="minorEastAsia" w:cstheme="minorBidi"/>
      <w:sz w:val="28"/>
      <w:szCs w:val="22"/>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qFormat/>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qFormat/>
    <w:pPr>
      <w:spacing w:after="120"/>
      <w:ind w:left="720"/>
      <w:contextualSpacing/>
    </w:pPr>
  </w:style>
  <w:style w:type="paragraph" w:styleId="ListContinue3">
    <w:name w:val="List Continue 3"/>
    <w:basedOn w:val="Normal"/>
    <w:uiPriority w:val="99"/>
    <w:unhideWhenUsed/>
    <w:qFormat/>
    <w:pPr>
      <w:spacing w:after="120"/>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character" w:customStyle="1" w:styleId="fontstyle01">
    <w:name w:val="fontstyle01"/>
    <w:basedOn w:val="DefaultParagraphFont"/>
    <w:rsid w:val="003E3954"/>
    <w:rPr>
      <w:rFonts w:ascii="TimesNewRomanPSMT" w:hAnsi="TimesNewRomanPSMT" w:hint="default"/>
      <w:b w:val="0"/>
      <w:bCs w:val="0"/>
      <w:i w:val="0"/>
      <w:iCs w:val="0"/>
      <w:color w:val="000000"/>
      <w:sz w:val="28"/>
      <w:szCs w:val="28"/>
    </w:rPr>
  </w:style>
  <w:style w:type="character" w:customStyle="1" w:styleId="fontstyle21">
    <w:name w:val="fontstyle21"/>
    <w:basedOn w:val="DefaultParagraphFont"/>
    <w:rsid w:val="003E3954"/>
    <w:rPr>
      <w:rFonts w:ascii="TimesNewRomanPS-BoldMT" w:hAnsi="TimesNewRomanPS-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7</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TULaoCai</cp:lastModifiedBy>
  <cp:revision>5</cp:revision>
  <dcterms:created xsi:type="dcterms:W3CDTF">2013-12-23T23:15:00Z</dcterms:created>
  <dcterms:modified xsi:type="dcterms:W3CDTF">2026-10-20T02:23:00Z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eyJoZGlkIjoiNTVhZDI4NDEyYzMzNjFhNmQ0OTE0ZWNmZmZlMzNmYWUiLCJ1c2VySWQiOiI4ODEzNzc0MTk3MjczIn0=</vt:lpwstr>
  </property>
  <property fmtid="{D5CDD505-2E9C-101B-9397-08002B2CF9AE}" pid="3" name="KSOProductBuildVer">
    <vt:lpwstr>1033-12.1.0.29162</vt:lpwstr>
  </property>
  <property fmtid="{D5CDD505-2E9C-101B-9397-08002B2CF9AE}" pid="4" name="ICV">
    <vt:lpwstr>611B5D4DC1E34D7B9C67E76DF0DE1F58_12</vt:lpwstr>
  </property>
</Properties>
</file>