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6281E29" w14:textId="77777777" w:rsidR="00807DAB" w:rsidRPr="00F840FB" w:rsidRDefault="0010203C" w:rsidP="007C7D17">
      <w:pPr>
        <w:spacing w:line="240" w:lineRule="auto"/>
        <w:jc w:val="center"/>
        <w:rPr>
          <w:rFonts w:eastAsia="Times New Roman"/>
          <w:b/>
          <w:bCs/>
          <w:szCs w:val="28"/>
        </w:rPr>
      </w:pPr>
      <w:r w:rsidRPr="00F840FB">
        <w:rPr>
          <w:rFonts w:eastAsia="Times New Roman"/>
          <w:b/>
          <w:bCs/>
          <w:szCs w:val="28"/>
        </w:rPr>
        <w:t>CHUYÊN ĐỀ</w:t>
      </w:r>
    </w:p>
    <w:p w14:paraId="5C19E5C8" w14:textId="77777777" w:rsidR="00807DAB" w:rsidRPr="00F840FB" w:rsidRDefault="0010203C" w:rsidP="007C7D17">
      <w:pPr>
        <w:spacing w:line="240" w:lineRule="auto"/>
        <w:jc w:val="center"/>
        <w:rPr>
          <w:rFonts w:eastAsia="Times New Roman"/>
          <w:b/>
          <w:bCs/>
          <w:szCs w:val="28"/>
        </w:rPr>
      </w:pPr>
      <w:r w:rsidRPr="00F840FB">
        <w:rPr>
          <w:rFonts w:eastAsia="Times New Roman"/>
          <w:b/>
          <w:bCs/>
          <w:szCs w:val="28"/>
        </w:rPr>
        <w:t>Những nội dung trọng tâm, cốt lõi của Kết luận số 105-KL/TW,</w:t>
      </w:r>
    </w:p>
    <w:p w14:paraId="68911028" w14:textId="77777777" w:rsidR="00807DAB" w:rsidRPr="00F840FB" w:rsidRDefault="0010203C" w:rsidP="007C7D17">
      <w:pPr>
        <w:spacing w:line="240" w:lineRule="auto"/>
        <w:jc w:val="center"/>
        <w:rPr>
          <w:rFonts w:eastAsia="Times New Roman"/>
          <w:b/>
          <w:bCs/>
          <w:szCs w:val="28"/>
        </w:rPr>
      </w:pPr>
      <w:r w:rsidRPr="00F840FB">
        <w:rPr>
          <w:rFonts w:eastAsia="Times New Roman"/>
          <w:b/>
          <w:bCs/>
          <w:szCs w:val="28"/>
        </w:rPr>
        <w:t xml:space="preserve"> ngày 15/10/2026 của Ban Chấp hành Trung ương Đảng khóa XIV về thu hút và trọng dụng nhân tài trong các ngành, lĩnh vực mũi nhọn,</w:t>
      </w:r>
    </w:p>
    <w:p w14:paraId="2025BAF4" w14:textId="77777777" w:rsidR="00807DAB" w:rsidRPr="00F840FB" w:rsidRDefault="0010203C" w:rsidP="007C7D17">
      <w:pPr>
        <w:spacing w:line="240" w:lineRule="auto"/>
        <w:jc w:val="center"/>
        <w:rPr>
          <w:rFonts w:eastAsia="Times New Roman"/>
          <w:b/>
          <w:bCs/>
          <w:szCs w:val="28"/>
        </w:rPr>
      </w:pPr>
      <w:r w:rsidRPr="00F840FB">
        <w:rPr>
          <w:rFonts w:eastAsia="Times New Roman"/>
          <w:b/>
          <w:bCs/>
          <w:szCs w:val="28"/>
        </w:rPr>
        <w:t>phục vụ đất nước phát triển nhanh, bền vững</w:t>
      </w:r>
    </w:p>
    <w:p w14:paraId="2ECB7759" w14:textId="1440F0BC" w:rsidR="00807DAB" w:rsidRPr="001D35D0" w:rsidRDefault="0010203C" w:rsidP="007C7D17">
      <w:pPr>
        <w:spacing w:line="240" w:lineRule="auto"/>
        <w:jc w:val="center"/>
        <w:rPr>
          <w:rFonts w:eastAsia="Times New Roman"/>
          <w:szCs w:val="28"/>
        </w:rPr>
      </w:pPr>
      <w:r w:rsidRPr="00F840FB">
        <w:rPr>
          <w:rFonts w:eastAsia="Times New Roman"/>
          <w:szCs w:val="28"/>
        </w:rPr>
        <w:t>-----</w:t>
      </w:r>
    </w:p>
    <w:p w14:paraId="4EAE6FBE"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szCs w:val="28"/>
        </w:rPr>
        <w:t>Kết luận số 105-KL/TW, ngày 15/10/2026 của Ban Chấp hành Trung ương Đảng khóa XIV xác định nhân tài là nguồn lực chiến lược đặc biệt của quốc gia; yêu cầu đổi mới căn bản tư duy, phương thức phát hiện, thu hút, trọng dụng và phát triển nhân tài trong các ngành, lĩnh vực mũi nhọn. Trọng tâm là giao đúng việc, trao quyền thực chất, bảo đảm điều kiện cống hiến và lấy sản phẩm, kết quả, giá trị đóng góp làm thước đo. Chuyên đề tập trung làm rõ tình hình, quan điểm, mục tiêu, nhiệm vụ, giải pháp cốt lõi của Kết luận và yêu cầu vận dụng ở cơ sở.</w:t>
      </w:r>
    </w:p>
    <w:p w14:paraId="1501A0C5" w14:textId="77777777" w:rsidR="00807DAB" w:rsidRPr="00F840FB" w:rsidRDefault="0010203C" w:rsidP="001D35D0">
      <w:pPr>
        <w:widowControl w:val="0"/>
        <w:spacing w:before="60" w:line="360" w:lineRule="exact"/>
        <w:ind w:left="567"/>
        <w:jc w:val="both"/>
        <w:rPr>
          <w:b/>
        </w:rPr>
      </w:pPr>
      <w:r w:rsidRPr="00F840FB">
        <w:rPr>
          <w:b/>
        </w:rPr>
        <w:t>I. CƠ SỞ VÀ YÊU CẦU BAN HÀNH KẾT LUẬN</w:t>
      </w:r>
    </w:p>
    <w:p w14:paraId="7A8169BF" w14:textId="77777777" w:rsidR="00807DAB" w:rsidRPr="00F840FB" w:rsidRDefault="0010203C" w:rsidP="001D35D0">
      <w:pPr>
        <w:spacing w:before="60" w:line="360" w:lineRule="exact"/>
        <w:ind w:firstLine="567"/>
        <w:jc w:val="both"/>
        <w:rPr>
          <w:rFonts w:eastAsia="Times New Roman"/>
          <w:b/>
          <w:bCs/>
          <w:szCs w:val="28"/>
        </w:rPr>
      </w:pPr>
      <w:r w:rsidRPr="00F840FB">
        <w:rPr>
          <w:rFonts w:eastAsia="Times New Roman"/>
          <w:b/>
          <w:bCs/>
          <w:szCs w:val="28"/>
        </w:rPr>
        <w:t xml:space="preserve">1. Kết quả đạt được </w:t>
      </w:r>
    </w:p>
    <w:p w14:paraId="51C2CFD4"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szCs w:val="28"/>
        </w:rPr>
        <w:t xml:space="preserve">Kế thừa truyền thống tôn trọng hiền tài, Đảng, Nhà nước ta luôn quan tâm phát hiện, thu hút, trọng dụng nhân tài. Chủ trương, chính sách, pháp luật từng bước được hoàn thiện; đội ngũ trí thức, chuyên gia, nhà khoa học ngày càng phát triển, đóng góp quan trọng vào thành tựu của đất nước. Có thể khái quát một số kết quả nổi bật như sau: </w:t>
      </w:r>
    </w:p>
    <w:p w14:paraId="39ABD334"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i/>
          <w:iCs/>
          <w:szCs w:val="28"/>
        </w:rPr>
        <w:t xml:space="preserve">- Thứ nhất, thể chế, cơ chế, chính sách về nhân tài từng bước được hoàn thiện. </w:t>
      </w:r>
      <w:r w:rsidRPr="00F840FB">
        <w:rPr>
          <w:rFonts w:eastAsia="Times New Roman"/>
          <w:szCs w:val="28"/>
        </w:rPr>
        <w:t xml:space="preserve">Quốc hội, Chính phủ đã ban hành các luật, nghị định trong đó có quy định một số nội dung về thu hút, trọng dụng chuyên gia, nhà khoa học trẻ, người có tài năng trong các lĩnh vực khoa học, công nghệ, đổi mới sáng tạo, giáo dục, y tế, văn hóa… Một số địa phương chủ động xây dựng cơ chế đặc thù: Thành phố Hồ Chí Minh, Đà Nẵng, Hà Nội áp dụng cơ chế linh hoạt, đãi ngộ theo hướng thị trường. </w:t>
      </w:r>
    </w:p>
    <w:p w14:paraId="0FD24DE8"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i/>
          <w:iCs/>
          <w:szCs w:val="28"/>
        </w:rPr>
        <w:t xml:space="preserve">- Thứ hai, chính sách thu hút bước đầu bổ sung nguồn nhân lực có chất lượng cao. </w:t>
      </w:r>
      <w:r w:rsidRPr="00F840FB">
        <w:rPr>
          <w:rFonts w:eastAsia="Times New Roman"/>
          <w:szCs w:val="28"/>
        </w:rPr>
        <w:t xml:space="preserve">Ở khu vực công, từ năm 2018 đến nay, cả nước có hơn 1.500 sinh viên xuất sắc, nhà khoa học trẻ được thu hút, tuyển dụng. Ở khu vực tư, một số doanh nghiệp như Viettel, Vingroup, Petrovietnam, VNPT, FPT, Phenikaa,... có cơ chế thu hút người giỏi bằng những nhiệm vụ công nghệ lớn. </w:t>
      </w:r>
    </w:p>
    <w:p w14:paraId="120372DC" w14:textId="77777777" w:rsidR="00807DAB" w:rsidRPr="00F840FB" w:rsidRDefault="0010203C" w:rsidP="001D35D0">
      <w:pPr>
        <w:spacing w:before="60" w:line="360" w:lineRule="exact"/>
        <w:ind w:firstLine="567"/>
        <w:jc w:val="both"/>
        <w:rPr>
          <w:rFonts w:eastAsia="Times New Roman"/>
          <w:b/>
          <w:bCs/>
          <w:szCs w:val="28"/>
        </w:rPr>
      </w:pPr>
      <w:r w:rsidRPr="00F840FB">
        <w:rPr>
          <w:rFonts w:eastAsia="Times New Roman"/>
          <w:b/>
          <w:bCs/>
          <w:szCs w:val="28"/>
        </w:rPr>
        <w:t>2. Hạn chế và nguyên nhân</w:t>
      </w:r>
    </w:p>
    <w:p w14:paraId="295A1087"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szCs w:val="28"/>
        </w:rPr>
        <w:t xml:space="preserve">- Kết luận chỉ rõ những điểm nghẽn cần tập trung khắc phục: </w:t>
      </w:r>
      <w:r w:rsidRPr="00F840FB">
        <w:rPr>
          <w:rFonts w:eastAsia="Times New Roman"/>
          <w:b/>
          <w:bCs/>
          <w:i/>
          <w:iCs/>
          <w:szCs w:val="28"/>
        </w:rPr>
        <w:t>Một là,</w:t>
      </w:r>
      <w:r w:rsidRPr="00F840FB">
        <w:rPr>
          <w:rFonts w:eastAsia="Times New Roman"/>
          <w:b/>
          <w:bCs/>
          <w:szCs w:val="28"/>
        </w:rPr>
        <w:t xml:space="preserve"> </w:t>
      </w:r>
      <w:r w:rsidRPr="00F840FB">
        <w:rPr>
          <w:rFonts w:eastAsia="Times New Roman"/>
          <w:szCs w:val="28"/>
        </w:rPr>
        <w:t xml:space="preserve">nhận thức về nhân tài chưa đầy đủ, thống nhất; phương thức quản lý còn nặng về thủ tục. </w:t>
      </w:r>
      <w:r w:rsidRPr="00F840FB">
        <w:rPr>
          <w:rFonts w:eastAsia="Times New Roman"/>
          <w:b/>
          <w:bCs/>
          <w:i/>
          <w:iCs/>
          <w:szCs w:val="28"/>
        </w:rPr>
        <w:t xml:space="preserve">Hai là, </w:t>
      </w:r>
      <w:r w:rsidRPr="00F840FB">
        <w:rPr>
          <w:rFonts w:eastAsia="Times New Roman"/>
          <w:szCs w:val="28"/>
        </w:rPr>
        <w:t>cơ chế, chính sách phân tán, thiếu đồng bộ.</w:t>
      </w:r>
      <w:r w:rsidRPr="00F840FB">
        <w:rPr>
          <w:rFonts w:eastAsia="Times New Roman"/>
          <w:b/>
          <w:bCs/>
          <w:i/>
          <w:iCs/>
          <w:szCs w:val="28"/>
        </w:rPr>
        <w:t xml:space="preserve"> Ba là,</w:t>
      </w:r>
      <w:r w:rsidRPr="00F840FB">
        <w:rPr>
          <w:rFonts w:eastAsia="Times New Roman"/>
          <w:szCs w:val="28"/>
        </w:rPr>
        <w:t xml:space="preserve"> thiếu sự liên thông nhân tài giữa khu vực công và khu vực tư, giữa trong nước và ngoài nước. </w:t>
      </w:r>
      <w:r w:rsidRPr="00F840FB">
        <w:rPr>
          <w:rFonts w:eastAsia="Times New Roman"/>
          <w:b/>
          <w:bCs/>
          <w:i/>
          <w:iCs/>
          <w:szCs w:val="28"/>
        </w:rPr>
        <w:t>Bốn là,</w:t>
      </w:r>
      <w:r w:rsidRPr="00F840FB">
        <w:rPr>
          <w:rFonts w:eastAsia="Times New Roman"/>
          <w:szCs w:val="28"/>
        </w:rPr>
        <w:t xml:space="preserve"> công tác phát hiện, bồi dưỡng nhân tài chưa được quan tâm đúng mức. </w:t>
      </w:r>
      <w:r w:rsidRPr="00F840FB">
        <w:rPr>
          <w:rFonts w:eastAsia="Times New Roman"/>
          <w:b/>
          <w:bCs/>
          <w:i/>
          <w:iCs/>
          <w:szCs w:val="28"/>
        </w:rPr>
        <w:t xml:space="preserve">Năm là, </w:t>
      </w:r>
      <w:r w:rsidRPr="00F840FB">
        <w:rPr>
          <w:rFonts w:eastAsia="Times New Roman"/>
          <w:szCs w:val="28"/>
        </w:rPr>
        <w:t xml:space="preserve">việc bố trí, sử dụng và trọng dụng nhân tài chưa tương xứng. </w:t>
      </w:r>
    </w:p>
    <w:p w14:paraId="7F38E421" w14:textId="77777777" w:rsidR="00807DAB" w:rsidRPr="004D5F2C" w:rsidRDefault="0010203C" w:rsidP="001D35D0">
      <w:pPr>
        <w:spacing w:before="60" w:line="360" w:lineRule="exact"/>
        <w:ind w:firstLine="567"/>
        <w:jc w:val="both"/>
        <w:rPr>
          <w:rFonts w:eastAsia="Times New Roman"/>
          <w:spacing w:val="-2"/>
          <w:szCs w:val="28"/>
        </w:rPr>
      </w:pPr>
      <w:r w:rsidRPr="004D5F2C">
        <w:rPr>
          <w:rFonts w:eastAsia="Times New Roman"/>
          <w:spacing w:val="-2"/>
          <w:szCs w:val="28"/>
        </w:rPr>
        <w:lastRenderedPageBreak/>
        <w:t xml:space="preserve">- Những hạn chế, bất cập có nguyên nhân khách quan từ nguồn lực và điều kiện nghiên cứu, làm việc còn hạn chế; nhưng chủ yếu vẫn là nguyên nhân chủ quan, nhất là nhận thức và trách nhiệm của một số cấp ủy, tổ chức đảng, người đứng đầu; tư duy quản lý còn nặng tính hành chính, thiếu chủ động phát hiện, mạnh dạn giao việc, trao quyền và bảo đảm điều kiện để người tài phát huy năng lực. </w:t>
      </w:r>
    </w:p>
    <w:p w14:paraId="4494C511" w14:textId="77777777" w:rsidR="00807DAB" w:rsidRPr="00F840FB" w:rsidRDefault="0010203C" w:rsidP="001D35D0">
      <w:pPr>
        <w:spacing w:before="60" w:line="360" w:lineRule="exact"/>
        <w:ind w:firstLine="567"/>
        <w:jc w:val="both"/>
        <w:rPr>
          <w:rFonts w:eastAsia="Times New Roman"/>
          <w:b/>
          <w:bCs/>
          <w:szCs w:val="28"/>
        </w:rPr>
      </w:pPr>
      <w:r w:rsidRPr="00F840FB">
        <w:rPr>
          <w:rFonts w:eastAsia="Times New Roman"/>
          <w:b/>
          <w:bCs/>
          <w:szCs w:val="28"/>
        </w:rPr>
        <w:t>3. Sự cần thiết và yêu cầu ban hành Kết luận</w:t>
      </w:r>
    </w:p>
    <w:p w14:paraId="1A58F96A"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szCs w:val="28"/>
        </w:rPr>
        <w:t xml:space="preserve">- Trong bối cảnh cạnh tranh chiến lược ngày càng gay gắt, nhiều quốc gia coi thu hút, trọng dụng nhân tài là động lực phát triển khoa học, công nghệ và đổi mới sáng tạo. Rất nhiều nước (như: Mỹ, Trung Quốc, các nước châu Âu,…) triển khai mạnh mẽ chính sách thu hút nhân tài với nhiều ưu đãi vượt trội.  </w:t>
      </w:r>
    </w:p>
    <w:p w14:paraId="626521FC"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szCs w:val="28"/>
        </w:rPr>
        <w:t xml:space="preserve">- Nghị quyết Đại hội XIV của Đảng xác định mục tiêu đến năm 2045, nước ta trở thành nước phát triển, có thu nhập cao. Để hiện thực hóa mục tiêu đó, Trung ương, Bộ Chính trị đã ban hành nhiều nghị quyết chiến lược nhằm tạo đột phá trên các lĩnh vực then chốt. Mọi khát vọng phát triển đều phải được hiện thực hóa bằng con người, đòi hỏi đội ngũ nhân tài đủ sức hoạch định chính sách, làm chủ công nghệ và tổ chức thực hiện những công trình, dự án lớn của đất nước. </w:t>
      </w:r>
    </w:p>
    <w:p w14:paraId="5CD5AF84"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szCs w:val="28"/>
        </w:rPr>
        <w:t xml:space="preserve">- Việc Trung ương ban hành Kết luận số 105-KL/TW khẳng định chủ trương, đường lối thống nhất của Đảng đối với công tác nhân tài, gắn phát hiện, thu hút, trọng dụng và phát triển nhân tài với các nhiệm vụ chiến lược, ngành, lĩnh vực mũi nhọn; qua đó phát huy trí tuệ, năng lực sáng tạo và khát vọng cống hiến thành nguồn lực quan trọng, thúc đẩy đất nước phát triển nhanh, bền vững. </w:t>
      </w:r>
    </w:p>
    <w:p w14:paraId="0CBB352C" w14:textId="77777777" w:rsidR="00807DAB" w:rsidRPr="00F840FB" w:rsidRDefault="0010203C" w:rsidP="001D35D0">
      <w:pPr>
        <w:spacing w:before="60" w:line="360" w:lineRule="exact"/>
        <w:ind w:firstLine="567"/>
        <w:jc w:val="both"/>
        <w:rPr>
          <w:rFonts w:eastAsia="Times New Roman"/>
          <w:b/>
          <w:bCs/>
          <w:szCs w:val="28"/>
        </w:rPr>
      </w:pPr>
      <w:r w:rsidRPr="00F840FB">
        <w:rPr>
          <w:rFonts w:eastAsia="Times New Roman"/>
          <w:b/>
          <w:bCs/>
          <w:szCs w:val="28"/>
        </w:rPr>
        <w:t xml:space="preserve">II. QUAN ĐIỂM, MỤC TIÊU, NHIỆM VỤ, GIẢI PHÁP TRỌNG TÂM </w:t>
      </w:r>
    </w:p>
    <w:p w14:paraId="04F380C6"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szCs w:val="28"/>
        </w:rPr>
        <w:t xml:space="preserve">Trên cơ sở đánh giá thực tiễn và yêu cầu phát triển trong giai đoạn mới, Kết luận xác lập những quan điểm, mục tiêu và định hướng cốt lõi sau: </w:t>
      </w:r>
    </w:p>
    <w:p w14:paraId="0C9FF0B8" w14:textId="77777777" w:rsidR="00807DAB" w:rsidRPr="00F840FB" w:rsidRDefault="0010203C" w:rsidP="001D35D0">
      <w:pPr>
        <w:spacing w:before="60" w:line="360" w:lineRule="exact"/>
        <w:ind w:firstLine="567"/>
        <w:jc w:val="both"/>
        <w:rPr>
          <w:rFonts w:eastAsia="Times New Roman"/>
          <w:b/>
          <w:bCs/>
          <w:szCs w:val="28"/>
        </w:rPr>
      </w:pPr>
      <w:r w:rsidRPr="00F840FB">
        <w:rPr>
          <w:rFonts w:eastAsia="Times New Roman"/>
          <w:b/>
          <w:bCs/>
          <w:szCs w:val="28"/>
        </w:rPr>
        <w:t xml:space="preserve">1. Về quan điểm </w:t>
      </w:r>
    </w:p>
    <w:p w14:paraId="6EE26C94"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szCs w:val="28"/>
        </w:rPr>
        <w:t>Kết luận xác định 05 quan điểm chỉ đạo, gồm:</w:t>
      </w:r>
    </w:p>
    <w:p w14:paraId="7F6C4A45"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t>- Thứ nhất,</w:t>
      </w:r>
      <w:r w:rsidRPr="00F840FB">
        <w:rPr>
          <w:rFonts w:eastAsia="Times New Roman"/>
          <w:szCs w:val="28"/>
        </w:rPr>
        <w:t xml:space="preserve"> nhân tài là nguồn lực chiến lược đặc biệt của quốc gia, dẫn dắt phát triển khoa học, công nghệ, đổi mới sáng tạo; nâng cao năng lực cạnh tranh, tự chủ chiến lược của đất nước. Đây là quan điểm cốt lõi, xuyên suốt, khẳng định vị trí của nhân tài trong phát triển quốc gia, phù hợp với xu hướng coi trọng nhân tài như một lợi thế cạnh tranh chiến lược trên thế giới. </w:t>
      </w:r>
    </w:p>
    <w:p w14:paraId="786A3778"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t>- Thứ hai,</w:t>
      </w:r>
      <w:r w:rsidRPr="00F840FB">
        <w:rPr>
          <w:rFonts w:eastAsia="Times New Roman"/>
          <w:szCs w:val="28"/>
        </w:rPr>
        <w:t xml:space="preserve"> thu hút, trọng dụng nhân tài đặt trong tổng thể chiến lược phát triển đất nước, có trọng tâm, trọng điểm; ưu tiên các chương trình, dự án, trọng điểm quốc gia. Quan điểm này định hướng tập trung nguồn lực, tránh dàn trải, phù hợp với điều kiện và mô hình phát triển của Việt Nam trong giai đoạn tới.</w:t>
      </w:r>
    </w:p>
    <w:p w14:paraId="1DDEE0EB"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t xml:space="preserve">- Thứ ba, </w:t>
      </w:r>
      <w:r w:rsidRPr="00F840FB">
        <w:rPr>
          <w:rFonts w:eastAsia="Times New Roman"/>
          <w:szCs w:val="28"/>
        </w:rPr>
        <w:t xml:space="preserve">đổi mới căn bản tư duy, phương thức quản trị nhân tài, chuyển từ quản lý theo tổ chức, biên chế sang quản trị, phát triển nhân tài; lấy sản phẩm, kết quả và giá trị cống hiến làm thước đo. Đột phá ở đây là bắt đầu từ nhiệm vụ để tìm </w:t>
      </w:r>
      <w:r w:rsidRPr="00F840FB">
        <w:rPr>
          <w:rFonts w:eastAsia="Times New Roman"/>
          <w:szCs w:val="28"/>
        </w:rPr>
        <w:lastRenderedPageBreak/>
        <w:t xml:space="preserve">đúng người, giao quyền và nguồn lực tương xứng, rồi đánh giá bằng giá trị tạo ra cho đất nước. </w:t>
      </w:r>
    </w:p>
    <w:p w14:paraId="0A67679F"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t>- Thứ tư,</w:t>
      </w:r>
      <w:r w:rsidRPr="00F840FB">
        <w:rPr>
          <w:rFonts w:eastAsia="Times New Roman"/>
          <w:szCs w:val="28"/>
        </w:rPr>
        <w:t xml:space="preserve"> công tác nhân tài đặt dưới sự lãnh đạo thống nhất, toàn diện của Đảng; Nhà nước kiến tạo thể chế; huy động sự vào cuộc của cả hệ thống chính trị, cơ sở giáo dục, viện nghiên cứu, doanh nghiệp và toàn xã hội.  </w:t>
      </w:r>
    </w:p>
    <w:p w14:paraId="3BFF06D8"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t xml:space="preserve">- Thứ năm, </w:t>
      </w:r>
      <w:r w:rsidRPr="00F840FB">
        <w:rPr>
          <w:rFonts w:eastAsia="Times New Roman"/>
          <w:szCs w:val="28"/>
        </w:rPr>
        <w:t xml:space="preserve">xây dựng hệ sinh thái nhân tài quốc gia hiện đại, mở, hội nhập quốc tế, bảo đảm liên kết, lưu chuyển, chia sẻ nguồn lực giữa công và tư; trong nước và quốc tế.  Đây là quan điểm quan trọng nhằm tháo gỡ tính cục bộ của công tác nhân tài thời gian qua, khẳng định nhân tài dù làm việc trong khu vực công, khu vực tư, trong nước hay ngoài nước đều là nguồn lực của quốc gia và phải được tạo điều kiện tham gia những nhiệm vụ phù hợp, cống hiến ở nơi có thể tạo ra giá trị cao nhất cho đất nước. </w:t>
      </w:r>
    </w:p>
    <w:p w14:paraId="41B65C45" w14:textId="77777777" w:rsidR="00807DAB" w:rsidRPr="00F840FB" w:rsidRDefault="0010203C" w:rsidP="001D35D0">
      <w:pPr>
        <w:spacing w:before="60" w:line="360" w:lineRule="exact"/>
        <w:ind w:firstLine="567"/>
        <w:jc w:val="both"/>
        <w:rPr>
          <w:rFonts w:eastAsia="Times New Roman"/>
          <w:b/>
          <w:bCs/>
          <w:szCs w:val="28"/>
        </w:rPr>
      </w:pPr>
      <w:r w:rsidRPr="00F840FB">
        <w:rPr>
          <w:rFonts w:eastAsia="Times New Roman"/>
          <w:b/>
          <w:bCs/>
          <w:szCs w:val="28"/>
        </w:rPr>
        <w:t xml:space="preserve">2. Về mục tiêu </w:t>
      </w:r>
    </w:p>
    <w:p w14:paraId="0BFE87B4"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t xml:space="preserve">- Mục tiêu tổng quát: </w:t>
      </w:r>
      <w:r w:rsidRPr="00F840FB">
        <w:rPr>
          <w:rFonts w:eastAsia="Times New Roman"/>
          <w:szCs w:val="28"/>
        </w:rPr>
        <w:t xml:space="preserve">Xây dựng hệ thống quản trị nhân tài quốc gia hiện đại, thống nhất, hiệu quả, có sức cạnh tranh quốc tế;  hình thành đội ngũ nhân tài chất lượng cao, đủ mạnh, có cơ cấu hợp lý trong các ngành, lĩnh vực mũi nhọn, có khả năng dẫn dắt giải quyết các bài toán lớn. Xây dựng Việt Nam trở thành môi trường hấp dẫn, nơi nhân tài được tôn trọng, tin tưởng và phát huy tối đa năng lực, sức sáng tạo. </w:t>
      </w:r>
    </w:p>
    <w:p w14:paraId="3EA8C68D"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t xml:space="preserve">- Mục tiêu đến năm 2030: </w:t>
      </w:r>
      <w:r w:rsidRPr="00F840FB">
        <w:rPr>
          <w:rFonts w:eastAsia="Times New Roman"/>
          <w:szCs w:val="28"/>
        </w:rPr>
        <w:t xml:space="preserve">(1) Hoàn thiện đồng bộ thể chế, cơ chế, chính sách về nhân tài; (2) Phấn đấu thu hút, trọng dụng khoảng 1.000 nhân tài quốc gia bao gồm cả khu vực công và khu vực tư, gắn với nhiệm vụ được giao, sản phẩm, kết quả và đóng góp cụ thể; (3) Vận hành đồng bộ hạ tầng số quốc gia về nhân tài; (4) Hình thành hệ sinh thái nhân tài quốc gia mở, liên thông và hội nhập; (5) Thuộc nhóm 03 nước đứng đầu ASEAN về Chỉ số năng lực cạnh tranh nhân tài toàn cầu. </w:t>
      </w:r>
    </w:p>
    <w:p w14:paraId="6BD5F7F8"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t xml:space="preserve">- Đến năm 2045: </w:t>
      </w:r>
      <w:r w:rsidRPr="00F840FB">
        <w:rPr>
          <w:rFonts w:eastAsia="Times New Roman"/>
          <w:szCs w:val="28"/>
        </w:rPr>
        <w:t xml:space="preserve">Việt Nam chủ động bảo đảm nguồn lực nhân tài; phấn đấu thuộc nhóm 20 quốc gia dẫn đầu về Chỉ số năng lực cạnh tranh nhân tài toàn cầu. </w:t>
      </w:r>
    </w:p>
    <w:p w14:paraId="0A96E2C1" w14:textId="77777777" w:rsidR="00807DAB" w:rsidRPr="00F840FB" w:rsidRDefault="0010203C" w:rsidP="001D35D0">
      <w:pPr>
        <w:spacing w:before="60" w:line="360" w:lineRule="exact"/>
        <w:ind w:firstLine="567"/>
        <w:jc w:val="both"/>
        <w:rPr>
          <w:rFonts w:eastAsia="Times New Roman"/>
          <w:b/>
          <w:bCs/>
          <w:szCs w:val="28"/>
        </w:rPr>
      </w:pPr>
      <w:r w:rsidRPr="00F840FB">
        <w:rPr>
          <w:rFonts w:eastAsia="Times New Roman"/>
          <w:b/>
          <w:bCs/>
          <w:szCs w:val="28"/>
        </w:rPr>
        <w:t xml:space="preserve">3. Về nhiệm vụ và giải pháp trọng tâm </w:t>
      </w:r>
    </w:p>
    <w:p w14:paraId="5985AAC1"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t xml:space="preserve">- Một là, tăng cường sự lãnh đạo của Đảng, thống nhất nhận thức, hành động của cả hệ thống chính trị về công tác nhân tài. </w:t>
      </w:r>
      <w:r w:rsidRPr="00F840FB">
        <w:rPr>
          <w:rFonts w:eastAsia="Times New Roman"/>
          <w:szCs w:val="28"/>
        </w:rPr>
        <w:t xml:space="preserve">Trọng tâm là 3 vấn đề: (1) Thống nhất cách nhận diện nhân tài là người có phẩm chất, tố chất, năng lực nổi trội và tư duy sáng tạo; có sản phẩm, thành tích hoặc đóng góp đặc biệt, có tính đột phá, tạo ra giá trị và tác động tích cực đối với cơ quan, doanh nghiệp, tổ chức, ngành, lĩnh vực, đất nước; có khả năng đảm nhận, giải quyết hiệu quả những nhiệm vụ quan trọng, mới, khó, phức tạp. (2) Xác định rõ trách nhiệm của cấp ủy, tổ chức đảng, Nhà nước, Mặt trận Tổ quốc, các tổ chức thành viên và trách nhiệm của người đứng đầu trong việc phát hiện, tiến cử, lựa chọn, trọng dụng, tạo điều kiện và chịu trách nhiệm về kết quả công tác nhân tài; đề cao trách nhiệm của mỗi nhân tài trong tự rèn luyện, giữ gìn uy tín nghề nghiệp và khát vọng cống hiến cho </w:t>
      </w:r>
      <w:r w:rsidRPr="00F840FB">
        <w:rPr>
          <w:rFonts w:eastAsia="Times New Roman"/>
          <w:szCs w:val="28"/>
        </w:rPr>
        <w:lastRenderedPageBreak/>
        <w:t xml:space="preserve">đất nước; (3) Khẳng định doanh nghiệp là một chủ thể quan trọng trong phát hiện, tiến cử, thu hút, trọng dụng nhân tài.  </w:t>
      </w:r>
    </w:p>
    <w:p w14:paraId="77F48121" w14:textId="77777777" w:rsidR="00807DAB" w:rsidRPr="004D5F2C" w:rsidRDefault="0010203C" w:rsidP="001D35D0">
      <w:pPr>
        <w:spacing w:before="60" w:line="360" w:lineRule="exact"/>
        <w:ind w:firstLine="567"/>
        <w:jc w:val="both"/>
        <w:rPr>
          <w:rFonts w:eastAsia="Times New Roman"/>
          <w:spacing w:val="-2"/>
          <w:szCs w:val="28"/>
        </w:rPr>
      </w:pPr>
      <w:r w:rsidRPr="004D5F2C">
        <w:rPr>
          <w:rFonts w:eastAsia="Times New Roman"/>
          <w:b/>
          <w:bCs/>
          <w:i/>
          <w:iCs/>
          <w:spacing w:val="-2"/>
          <w:szCs w:val="28"/>
        </w:rPr>
        <w:t xml:space="preserve">- Hai là, hoàn thiện thể chế, cơ chế, chính sách và tập trung nguồn lực thu hút, trọng dụng nhân tài trong các ngành, lĩnh vực mũi nhọn. </w:t>
      </w:r>
      <w:r w:rsidRPr="004D5F2C">
        <w:rPr>
          <w:rFonts w:eastAsia="Times New Roman"/>
          <w:spacing w:val="-2"/>
          <w:szCs w:val="28"/>
        </w:rPr>
        <w:t xml:space="preserve">Trong đó, nhấn mạnh 4 nội dung trọng tâm: (1) Về thể chế: rà soát, hoàn thiện các quy định của Đảng và pháp luật về công tác cán bộ, công tác nhân tài, tháo gỡ rào cản về tiêu chuẩn, điều kiện, quy trình; xây dựng Khung tiêu chí quốc gia về nhân tài; cập nhật danh mục ngành, lĩnh vực mũi nhọn. (2) Về chính sách: hoàn thiện các chính sách tiền lương, thuế, nhà ở, xuất nhập cảnh, an sinh xã hội đối với nhân tài và thân nhân của nhân tài, bảo đảm đủ mạnh, tạo được sự yên tâm để người tài tập trung cống hiến; (3) Về nguồn lực: bố trí ngân sách nhà nước cho công tác nhân tài khoảng 0,1% GDP hằng năm trong tổng nguồn lực dành cho khoa học, công nghệ, đổi mới sáng tạo, chuyển đổi số; chuyển từ kiểm soát chi tiết quy trình sang đặt hàng, khoán chi, tài trợ theo sản phẩm, kết quả; đẩy mạnh xã hội hóa, có ưu đãi về thuế, tín dụng để huy động nguồn lực của doanh nghiệp và xã hội. (4) Về công cụ: xây dựng và vận hành Cơ sở dữ liệu quốc gia, hệ thống chỉ số quốc gia về nhân tài, Cổng thông tin quốc gia về nhân tài và các nền tảng số để phục vụ quản trị nhân tài.  </w:t>
      </w:r>
    </w:p>
    <w:p w14:paraId="7A0AD914"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t xml:space="preserve">- Ba là, đổi mới phương thức phát hiện, lựa chọn, trọng dụng và đánh giá nhân tài theo nhiệm vụ và kết quả. </w:t>
      </w:r>
      <w:r w:rsidRPr="00F840FB">
        <w:rPr>
          <w:rFonts w:eastAsia="Times New Roman"/>
          <w:szCs w:val="28"/>
        </w:rPr>
        <w:t xml:space="preserve">Kết luận nhấn mạnh: (1) Phát hiện, tiến cử nhân tài từ nhiều nguồn, cả trong và ngoài nước, không phân biệt khu vực công và tư, không tính vào chỉ tiêu biên chế đối với khu vực công. (2) Lựa chọn, trọng dụng đúng người, đúng việc, đúng sở trường; giao việc xứng tầm, trọng trách lớn, trao thẩm quyền thực chất, bảo đảm nguồn lực tương xứng, đi liền với đạo đức liêm chính, trách nhiệm giải trình, tinh thần cống hiến. (3) Đánh giá bằng kết quả, chất lượng sản phẩm, giá trị tạo ra, mức độ hoàn thành và hiệu quả cống hiến; kịp thời chấm dứt giao nhiệm vụ khi nhân tài không đáp ứng yêu cầu. Quan điểm này thể hiện tư duy đổi mới, coi công tác nhân tài là một quá trình liên tục, gắn kết chặt chẽ: phát hiện đúng là tiền đề, trọng dụng hiệu quả là then chốt, đánh giá thực chất là động lực để nhân tài phát huy năng lực và cống hiến. </w:t>
      </w:r>
    </w:p>
    <w:p w14:paraId="0D36CB7B"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t xml:space="preserve">- Bốn là, chủ động tạo nguồn và phát triển nhân tài quốc gia, </w:t>
      </w:r>
      <w:r w:rsidRPr="00F840FB">
        <w:rPr>
          <w:rFonts w:eastAsia="Times New Roman"/>
          <w:szCs w:val="28"/>
        </w:rPr>
        <w:t>gồm 04 nội dung chính:</w:t>
      </w:r>
      <w:r w:rsidRPr="00F840FB">
        <w:rPr>
          <w:rFonts w:eastAsia="Times New Roman"/>
          <w:b/>
          <w:bCs/>
          <w:i/>
          <w:iCs/>
          <w:szCs w:val="28"/>
        </w:rPr>
        <w:t xml:space="preserve"> </w:t>
      </w:r>
      <w:r w:rsidRPr="00F840FB">
        <w:rPr>
          <w:rFonts w:eastAsia="Times New Roman"/>
          <w:szCs w:val="28"/>
        </w:rPr>
        <w:t xml:space="preserve">(1) Xây dựng chương trình tạo nguồn theo từng nhóm, ngành, lĩnh vực. (2) Phát hiện sớm, tuyển chọn, đào tạo tài năng trẻ, theo dõi, hỗ trợ phát triển lâu dài. (3) Trao quyền tự chủ cao hơn cho đại học, viện nghiên cứu, gắn với trách nhiệm giải trình, chất lượng sản phẩm và liêm chính học thuật. (4) Thiết lập cơ chế “Nhân tài dẫn dắt nhân tài”, đây là điểm mới trong tư duy, chuyển từ phát triển từng cá nhân sang hình thành đội ngũ và năng lực bền vững. Trọng tâm của nhóm giải pháp này là hình thành quá trình phát triển liên tục, lâu dài, từ phát hiện tiềm năng đến đào tạo, giao nhiệm vụ và trưởng thành qua thực tiễn. </w:t>
      </w:r>
    </w:p>
    <w:p w14:paraId="0A28E0DD"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lastRenderedPageBreak/>
        <w:t xml:space="preserve">- Năm là, xây dựng văn hóa trọng dụng nhân tài, tạo lập môi trường và điều kiện để nhân tài phát huy năng lực, cống hiến và tạo giá trị, </w:t>
      </w:r>
      <w:r w:rsidRPr="00F840FB">
        <w:rPr>
          <w:rFonts w:eastAsia="Times New Roman"/>
          <w:szCs w:val="28"/>
        </w:rPr>
        <w:t xml:space="preserve">trong đó lưu ý 03 nội dung cốt lõi: (1) Xây dựng văn hóa trọng người thực tài, khắc phục tình trạng đố kỵ, cô lập, sợ người giỏi; (2) Mở rộng quyền tự chủ trong chuyên môn. (3) Tạo điều kiện để nhân tài khởi nghiệp, chuyển giao, thương mại hóa kết quả nghiên cứu. </w:t>
      </w:r>
    </w:p>
    <w:p w14:paraId="5D473415"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b/>
          <w:bCs/>
          <w:i/>
          <w:iCs/>
          <w:szCs w:val="28"/>
        </w:rPr>
        <w:t xml:space="preserve">- Sáu là, đẩy mạnh hợp tác quốc tế về nhân tài, nhất là những ngành, lĩnh vực mũi nhọn, </w:t>
      </w:r>
      <w:r w:rsidRPr="00F840FB">
        <w:rPr>
          <w:rFonts w:eastAsia="Times New Roman"/>
          <w:szCs w:val="28"/>
        </w:rPr>
        <w:t xml:space="preserve">nhấn mạnh 03 nội dung trọng tâm: (1) Gắn hợp tác, trao đổi nhân tài với nghiên cứu, chuyển giao công nghệ. (2) Thu hút nhân tài là người Việt Nam ở nước ngoài, chuyên gia quốc tế tham gia đào tạo, cố vấn, chủ trì hoặc đồng chủ trì nhiệm vụ chiến lược tại Việt Nam. (3) Phát triển Mạng lưới nhân tài Việt Nam theo ngành, lĩnh vực trong nước và xuyên quốc gia. Hiệu quả hợp tác phải thể hiện ở việc tri thức được chuyển giao, công nghệ được làm chủ và năng lực của đội ngũ trong nước được nâng lên. </w:t>
      </w:r>
    </w:p>
    <w:p w14:paraId="0FA5F381"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szCs w:val="28"/>
        </w:rPr>
        <w:t xml:space="preserve">Tóm lại, xuyên suốt 6 nhóm nhiệm vụ, giải pháp là sự đổi mới căn bản về tư duy và phương thức quản trị nhân tài: lấy nhiệm vụ chiến lược làm định hướng; phẩm chất, năng lực, sản phẩm, kết quả và giá trị cống hiến làm thước đo; trọng dụng là khâu then chốt, tạo nguồn là căn bản, lâu dài; quyền tự chủ, nguồn lực và điều kiện làm việc của cơ quan sử dụng phải đi liền với trách nhiệm, năng lực, phẩm chất, uy tín và giá trị sản phẩm tạo ra của nhân tài. </w:t>
      </w:r>
    </w:p>
    <w:p w14:paraId="6C7B6896" w14:textId="77777777" w:rsidR="00807DAB" w:rsidRPr="00F840FB" w:rsidRDefault="0010203C" w:rsidP="001D35D0">
      <w:pPr>
        <w:spacing w:before="60" w:line="360" w:lineRule="exact"/>
        <w:ind w:firstLine="567"/>
        <w:jc w:val="both"/>
        <w:rPr>
          <w:rFonts w:eastAsia="Times New Roman"/>
          <w:b/>
          <w:bCs/>
          <w:szCs w:val="28"/>
        </w:rPr>
      </w:pPr>
      <w:r w:rsidRPr="00F840FB">
        <w:rPr>
          <w:rFonts w:eastAsia="Times New Roman"/>
          <w:b/>
          <w:bCs/>
          <w:szCs w:val="28"/>
        </w:rPr>
        <w:t xml:space="preserve">III. LIÊN HỆ CẤP CƠ SỞ </w:t>
      </w:r>
    </w:p>
    <w:p w14:paraId="5FC50A15" w14:textId="77777777" w:rsidR="00DA7B2D" w:rsidRPr="00F840FB" w:rsidRDefault="0010203C" w:rsidP="001D35D0">
      <w:pPr>
        <w:spacing w:before="60" w:line="360" w:lineRule="exact"/>
        <w:ind w:firstLine="567"/>
        <w:jc w:val="both"/>
        <w:rPr>
          <w:rFonts w:eastAsia="Times New Roman"/>
          <w:szCs w:val="28"/>
        </w:rPr>
      </w:pPr>
      <w:r w:rsidRPr="00F840FB">
        <w:rPr>
          <w:rFonts w:eastAsia="Times New Roman"/>
          <w:szCs w:val="28"/>
        </w:rPr>
        <w:t>- Đối với cấp cơ sở, việc cụ thể hóa Kết luận số 105-KL/TW cần bắt đầu từ xác định những nhiệm vụ trọng tâm, vấn đề khó và nhu cầu phát triển của địa phương, cơ quan, đơn vị để chủ động phát hiện, bồi dưỡng, đề xuất thu hút và sử dụng người có tài năng. Cấp ủy, người đứng đầu cần đánh giá con người qua phẩm chất, năng lực và kết quả thực tiễn; bố trí đúng sở trường, mạnh dạn giao nhiệm vụ, tạo điều kiện làm việc và ghi nhận xứng đáng những đóng góp. Những khó khăn, vướng mắc về cơ chế, chính sách phải được kịp thời tổng hợp, kiến nghị cấp có thẩm quyền giải quyết</w:t>
      </w:r>
      <w:r w:rsidRPr="001D35D0">
        <w:rPr>
          <w:rFonts w:eastAsia="Times New Roman"/>
          <w:color w:val="000000" w:themeColor="text1"/>
          <w:szCs w:val="28"/>
        </w:rPr>
        <w:t>.</w:t>
      </w:r>
      <w:r w:rsidR="00DA7B2D" w:rsidRPr="001D35D0">
        <w:rPr>
          <w:rFonts w:eastAsia="Times New Roman"/>
          <w:color w:val="000000" w:themeColor="text1"/>
          <w:szCs w:val="28"/>
        </w:rPr>
        <w:t xml:space="preserve"> </w:t>
      </w:r>
      <w:r w:rsidR="00DA7B2D" w:rsidRPr="001D35D0">
        <w:rPr>
          <w:color w:val="000000" w:themeColor="text1"/>
        </w:rPr>
        <w:t>Việc đề xuất thu hút, bố trí, sử dụng nhân tài cần gắn với vị trí hoặc nhiệm vụ cụ thể, tiêu chí đầu ra, thẩm quyền quyết định, nguồn lực bảo đảm và cơ chế đánh giá sau giao việc; không đồng nhất nhân tài với bằng cấp hoặc danh hiệu.</w:t>
      </w:r>
    </w:p>
    <w:p w14:paraId="1BD3786A"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szCs w:val="28"/>
        </w:rPr>
        <w:t>- Đối với mỗi cán bộ, đảng viên, cần tích cực học tập, rèn luyện, nâng cao năng lực chuyên môn, chủ động nhận và giải quyết những nhiệm vụ mới, khó; đồng thời có trách nhiệm phát hiện, giới thiệu, hỗ trợ người có tài năng. Xây dựng môi trường đoàn kết, tôn trọng thực tài, khuyến khích sáng tạo, khắc phục biểu hiện đố kỵ, cục bộ, định kiến; qua đó giúp người có năng lực phát huy sở trường, đóng góp thiết thực vào sự phát triển của cơ sở và nâng cao chất lượng phục vụ Nhân dân.</w:t>
      </w:r>
    </w:p>
    <w:p w14:paraId="344E02F8" w14:textId="77777777" w:rsidR="00807DAB" w:rsidRPr="00F840FB" w:rsidRDefault="0010203C" w:rsidP="001D35D0">
      <w:pPr>
        <w:spacing w:before="60" w:line="360" w:lineRule="exact"/>
        <w:ind w:firstLine="567"/>
        <w:jc w:val="both"/>
        <w:rPr>
          <w:rFonts w:eastAsia="Times New Roman"/>
          <w:szCs w:val="28"/>
        </w:rPr>
      </w:pPr>
      <w:r w:rsidRPr="00F840FB">
        <w:rPr>
          <w:rFonts w:eastAsia="Times New Roman"/>
          <w:szCs w:val="28"/>
        </w:rPr>
        <w:lastRenderedPageBreak/>
        <w:t>Giá trị của Kết luận số 105-KL/TW phải được thể hiện ở việc phát hiện đúng, trọng dụng hiệu quả và tạo điều kiện để nhân tài cống hiến. Tinh thần xuyên suốt cần quán triệt là: từ yêu cầu nhiệm vụ để tìm người; từ phẩm chất, năng lực để giao việc; từ sản phẩm, kết quả và giá trị đóng góp để đánh giá, ghi nhận. Mỗi cấp ủy, tổ chức đảng và người đứng đầu phải chuyển nhận thức coi trọng nhân tài thành trách nhiệm và hành động cụ thể, xây dựng môi trường để người tài được tin tưởng, có cơ hội phát huy năng lực và yên tâm cống hiến, góp phần phát triển đất nước nhanh, bền vững.</w:t>
      </w:r>
    </w:p>
    <w:p w14:paraId="2FD4B039" w14:textId="77777777" w:rsidR="00807DAB" w:rsidRPr="00F840FB" w:rsidRDefault="00807DAB" w:rsidP="001D35D0">
      <w:pPr>
        <w:widowControl w:val="0"/>
        <w:spacing w:before="60" w:line="360" w:lineRule="exact"/>
        <w:ind w:firstLine="562"/>
        <w:jc w:val="both"/>
        <w:rPr>
          <w:rFonts w:cs="Times New Roman"/>
          <w:szCs w:val="28"/>
        </w:rPr>
      </w:pPr>
    </w:p>
    <w:sectPr w:rsidR="00807DAB" w:rsidRPr="00F840FB" w:rsidSect="00F840FB">
      <w:headerReference w:type="default" r:id="rId9"/>
      <w:pgSz w:w="11906" w:h="16841"/>
      <w:pgMar w:top="1134" w:right="851" w:bottom="1134" w:left="1701" w:header="567" w:footer="567" w:gutter="0"/>
      <w:cols w:space="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5BCD3D" w14:textId="77777777" w:rsidR="005102DE" w:rsidRDefault="005102DE">
      <w:pPr>
        <w:spacing w:line="240" w:lineRule="auto"/>
      </w:pPr>
      <w:r>
        <w:separator/>
      </w:r>
    </w:p>
  </w:endnote>
  <w:endnote w:type="continuationSeparator" w:id="0">
    <w:p w14:paraId="30B916E8" w14:textId="77777777" w:rsidR="005102DE" w:rsidRDefault="005102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85EEA4" w14:textId="77777777" w:rsidR="005102DE" w:rsidRDefault="005102DE">
      <w:r>
        <w:separator/>
      </w:r>
    </w:p>
  </w:footnote>
  <w:footnote w:type="continuationSeparator" w:id="0">
    <w:p w14:paraId="32C49F70" w14:textId="77777777" w:rsidR="005102DE" w:rsidRDefault="005102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83EC88" w14:textId="77777777" w:rsidR="00807DAB" w:rsidRDefault="0010203C">
    <w:pPr>
      <w:pStyle w:val="Header"/>
    </w:pPr>
    <w:r>
      <w:rPr>
        <w:noProof/>
      </w:rPr>
      <mc:AlternateContent>
        <mc:Choice Requires="wps">
          <w:drawing>
            <wp:anchor distT="0" distB="0" distL="114300" distR="114300" simplePos="0" relativeHeight="251659264" behindDoc="0" locked="0" layoutInCell="1" allowOverlap="1" wp14:anchorId="23B2EE10" wp14:editId="22638E9E">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062FCB8" w14:textId="77777777" w:rsidR="00807DAB" w:rsidRDefault="0010203C">
                          <w:pPr>
                            <w:pStyle w:val="Header"/>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23B2EE10" id="_x0000_t202" coordsize="21600,21600" o:spt="202" path="m,l,21600r21600,l21600,xe">
              <v:stroke joinstyle="miter"/>
              <v:path gradientshapeok="t" o:connecttype="rect"/>
            </v:shapetype>
            <v:shape id="Text Box 1" o:spid="_x0000_s1026" type="#_x0000_t202" style="position:absolute;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" filled="f" stroked="f" strokeweight=".5pt">
              <v:textbox style="mso-fit-shape-to-text:t" inset="0,0,0,0">
                <w:txbxContent>
                  <w:p w14:paraId="6062FCB8" w14:textId="77777777" w:rsidR="00807DAB" w:rsidRDefault="0010203C">
                    <w:pPr>
                      <w:pStyle w:val="Header"/>
                    </w:pPr>
                    <w:r>
                      <w:fldChar w:fldCharType="begin"/>
                    </w:r>
                    <w:r>
                      <w:instrText xml:space="preserve"> PAGE  \* MERGEFORMAT </w:instrText>
                    </w:r>
                    <w:r>
                      <w:fldChar w:fldCharType="separate"/>
                    </w:r>
                    <w:r>
                      <w:t>1</w:t>
                    </w:r>
                    <w:r>
                      <w:fldChar w:fldCharType="end"/>
                    </w:r>
                  </w:p>
                </w:txbxContent>
              </v:textbox>
              <w10:wrap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E"/>
    <w:multiLevelType w:val="singleLevel"/>
    <w:tmpl w:val="FFFFFF7E"/>
    <w:lvl w:ilvl="0">
      <w:start w:val="1"/>
      <w:numFmt w:val="decimal"/>
      <w:pStyle w:val="ListNumber3"/>
      <w:lvlText w:val="%1."/>
      <w:lvlJc w:val="left"/>
      <w:pPr>
        <w:tabs>
          <w:tab w:val="left" w:pos="1080"/>
        </w:tabs>
        <w:ind w:left="1080" w:hanging="360"/>
      </w:pPr>
    </w:lvl>
  </w:abstractNum>
  <w:abstractNum w:abstractNumId="1" w15:restartNumberingAfterBreak="0">
    <w:nsid w:val="FFFFFF7F"/>
    <w:multiLevelType w:val="singleLevel"/>
    <w:tmpl w:val="FFFFFF7F"/>
    <w:lvl w:ilvl="0">
      <w:start w:val="1"/>
      <w:numFmt w:val="decimal"/>
      <w:pStyle w:val="ListNumber2"/>
      <w:lvlText w:val="%1."/>
      <w:lvlJc w:val="left"/>
      <w:pPr>
        <w:tabs>
          <w:tab w:val="left" w:pos="720"/>
        </w:tabs>
        <w:ind w:left="720" w:hanging="360"/>
      </w:pPr>
    </w:lvl>
  </w:abstractNum>
  <w:abstractNum w:abstractNumId="2" w15:restartNumberingAfterBreak="0">
    <w:nsid w:val="FFFFFF82"/>
    <w:multiLevelType w:val="singleLevel"/>
    <w:tmpl w:val="FFFFFF82"/>
    <w:lvl w:ilvl="0">
      <w:start w:val="1"/>
      <w:numFmt w:val="bullet"/>
      <w:pStyle w:val="ListBullet3"/>
      <w:lvlText w:val=""/>
      <w:lvlJc w:val="left"/>
      <w:pPr>
        <w:tabs>
          <w:tab w:val="left" w:pos="1080"/>
        </w:tabs>
        <w:ind w:left="1080" w:hanging="360"/>
      </w:pPr>
      <w:rPr>
        <w:rFonts w:ascii="Symbol" w:hAnsi="Symbol" w:hint="default"/>
      </w:rPr>
    </w:lvl>
  </w:abstractNum>
  <w:abstractNum w:abstractNumId="3" w15:restartNumberingAfterBreak="0">
    <w:nsid w:val="FFFFFF83"/>
    <w:multiLevelType w:val="singleLevel"/>
    <w:tmpl w:val="FFFFFF83"/>
    <w:lvl w:ilvl="0">
      <w:start w:val="1"/>
      <w:numFmt w:val="bullet"/>
      <w:pStyle w:val="ListBullet2"/>
      <w:lvlText w:val=""/>
      <w:lvlJc w:val="left"/>
      <w:pPr>
        <w:tabs>
          <w:tab w:val="left" w:pos="720"/>
        </w:tabs>
        <w:ind w:left="720" w:hanging="360"/>
      </w:pPr>
      <w:rPr>
        <w:rFonts w:ascii="Symbol" w:hAnsi="Symbol" w:hint="default"/>
      </w:rPr>
    </w:lvl>
  </w:abstractNum>
  <w:abstractNum w:abstractNumId="4" w15:restartNumberingAfterBreak="0">
    <w:nsid w:val="FFFFFF88"/>
    <w:multiLevelType w:val="singleLevel"/>
    <w:tmpl w:val="FFFFFF88"/>
    <w:lvl w:ilvl="0">
      <w:start w:val="1"/>
      <w:numFmt w:val="decimal"/>
      <w:pStyle w:val="ListNumber"/>
      <w:lvlText w:val="%1."/>
      <w:lvlJc w:val="left"/>
      <w:pPr>
        <w:tabs>
          <w:tab w:val="left" w:pos="360"/>
        </w:tabs>
        <w:ind w:left="360" w:hanging="360"/>
      </w:pPr>
    </w:lvl>
  </w:abstractNum>
  <w:abstractNum w:abstractNumId="5" w15:restartNumberingAfterBreak="0">
    <w:nsid w:val="FFFFFF89"/>
    <w:multiLevelType w:val="singleLevel"/>
    <w:tmpl w:val="FFFFFF89"/>
    <w:lvl w:ilvl="0">
      <w:start w:val="1"/>
      <w:numFmt w:val="bullet"/>
      <w:pStyle w:val="ListBullet"/>
      <w:lvlText w:val=""/>
      <w:lvlJc w:val="left"/>
      <w:pPr>
        <w:tabs>
          <w:tab w:val="left" w:pos="360"/>
        </w:tabs>
        <w:ind w:left="360" w:hanging="360"/>
      </w:pPr>
      <w:rPr>
        <w:rFonts w:ascii="Symbol" w:hAnsi="Symbol" w:hint="default"/>
      </w:rPr>
    </w:lvl>
  </w:abstractNum>
  <w:num w:numId="1" w16cid:durableId="2146389786">
    <w:abstractNumId w:val="5"/>
  </w:num>
  <w:num w:numId="2" w16cid:durableId="121654725">
    <w:abstractNumId w:val="3"/>
  </w:num>
  <w:num w:numId="3" w16cid:durableId="1177891581">
    <w:abstractNumId w:val="2"/>
  </w:num>
  <w:num w:numId="4" w16cid:durableId="1540360975">
    <w:abstractNumId w:val="4"/>
  </w:num>
  <w:num w:numId="5" w16cid:durableId="2028748736">
    <w:abstractNumId w:val="1"/>
  </w:num>
  <w:num w:numId="6" w16cid:durableId="48963835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val="bestFit" w:percent="148"/>
  <w:defaultTabStop w:val="720"/>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0203C"/>
    <w:rsid w:val="0015074B"/>
    <w:rsid w:val="001D35D0"/>
    <w:rsid w:val="0029639D"/>
    <w:rsid w:val="00326F90"/>
    <w:rsid w:val="004D5F2C"/>
    <w:rsid w:val="004F47C1"/>
    <w:rsid w:val="005102DE"/>
    <w:rsid w:val="007C7D17"/>
    <w:rsid w:val="00807DAB"/>
    <w:rsid w:val="00AA1D8D"/>
    <w:rsid w:val="00B47730"/>
    <w:rsid w:val="00CB0664"/>
    <w:rsid w:val="00DA7B2D"/>
    <w:rsid w:val="00DC580A"/>
    <w:rsid w:val="00E76779"/>
    <w:rsid w:val="00F840FB"/>
    <w:rsid w:val="00FC693F"/>
    <w:rsid w:val="03E60D6C"/>
    <w:rsid w:val="0DA925F8"/>
    <w:rsid w:val="10F13359"/>
    <w:rsid w:val="11515012"/>
    <w:rsid w:val="12F450A8"/>
    <w:rsid w:val="18AF588E"/>
    <w:rsid w:val="18EF6677"/>
    <w:rsid w:val="22B53180"/>
    <w:rsid w:val="27844E75"/>
    <w:rsid w:val="287A7AF8"/>
    <w:rsid w:val="37C02A03"/>
    <w:rsid w:val="394D1AE4"/>
    <w:rsid w:val="43862855"/>
    <w:rsid w:val="460F7D00"/>
    <w:rsid w:val="4AEF3A55"/>
    <w:rsid w:val="620F2070"/>
    <w:rsid w:val="79D10B6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759A5A"/>
  <w14:defaultImageDpi w14:val="300"/>
  <w15:docId w15:val="{CF1DBFF7-5406-4A45-BC61-CB6580834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unhideWhenUsed="1" w:qFormat="1"/>
    <w:lsdException w:name="toa heading" w:semiHidden="1" w:unhideWhenUsed="1"/>
    <w:lsdException w:name="List" w:unhideWhenUsed="1" w:qFormat="1"/>
    <w:lsdException w:name="List Bullet" w:unhideWhenUsed="1" w:qFormat="1"/>
    <w:lsdException w:name="List Number" w:unhideWhenUsed="1" w:qFormat="1"/>
    <w:lsdException w:name="List 2" w:unhideWhenUsed="1" w:qFormat="1"/>
    <w:lsdException w:name="List 3" w:unhideWhenUsed="1" w:qFormat="1"/>
    <w:lsdException w:name="List 4" w:semiHidden="1" w:unhideWhenUsed="1"/>
    <w:lsdException w:name="List 5" w:semiHidden="1" w:unhideWhenUsed="1"/>
    <w:lsdException w:name="List Bullet 2" w:unhideWhenUsed="1" w:qFormat="1"/>
    <w:lsdException w:name="List Bullet 3" w:unhideWhenUsed="1" w:qFormat="1"/>
    <w:lsdException w:name="List Bullet 4" w:semiHidden="1" w:unhideWhenUsed="1"/>
    <w:lsdException w:name="List Bullet 5" w:semiHidden="1" w:unhideWhenUsed="1"/>
    <w:lsdException w:name="List Number 2" w:unhideWhenUsed="1" w:qFormat="1"/>
    <w:lsdException w:name="List Number 3"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nhideWhenUsed="1" w:qFormat="1"/>
    <w:lsdException w:name="Body Text Indent" w:semiHidden="1" w:unhideWhenUsed="1"/>
    <w:lsdException w:name="List Continue" w:unhideWhenUsed="1" w:qFormat="1"/>
    <w:lsdException w:name="List Continue 2" w:unhideWhenUsed="1" w:qFormat="1"/>
    <w:lsdException w:name="List Continue 3"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nhideWhenUsed="1" w:qFormat="1"/>
    <w:lsdException w:name="Body Text 3"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qFormat="1"/>
    <w:lsdException w:name="Light List" w:uiPriority="61"/>
    <w:lsdException w:name="Light Grid" w:uiPriority="62"/>
    <w:lsdException w:name="Medium Shading 1" w:uiPriority="63" w:qFormat="1"/>
    <w:lsdException w:name="Medium Shading 2" w:uiPriority="64" w:qFormat="1"/>
    <w:lsdException w:name="Medium List 1" w:uiPriority="65" w:qFormat="1"/>
    <w:lsdException w:name="Medium List 2" w:uiPriority="66" w:qFormat="1"/>
    <w:lsdException w:name="Medium Grid 1" w:uiPriority="67" w:qFormat="1"/>
    <w:lsdException w:name="Medium Grid 2" w:uiPriority="68" w:qFormat="1"/>
    <w:lsdException w:name="Medium Grid 3" w:uiPriority="69" w:qFormat="1"/>
    <w:lsdException w:name="Dark List" w:uiPriority="70" w:qFormat="1"/>
    <w:lsdException w:name="Colorful Shading" w:uiPriority="71" w:qFormat="1"/>
    <w:lsdException w:name="Colorful List" w:uiPriority="72" w:qFormat="1"/>
    <w:lsdException w:name="Colorful Grid" w:uiPriority="73" w:qFormat="1"/>
    <w:lsdException w:name="Light Shading Accent 1" w:uiPriority="60" w:qFormat="1"/>
    <w:lsdException w:name="Light List Accent 1" w:uiPriority="61"/>
    <w:lsdException w:name="Light Grid Accent 1" w:uiPriority="62" w:qFormat="1"/>
    <w:lsdException w:name="Medium Shading 1 Accent 1" w:uiPriority="63" w:qFormat="1"/>
    <w:lsdException w:name="Medium Shading 2 Accent 1" w:uiPriority="64" w:qFormat="1"/>
    <w:lsdException w:name="Medium List 1 Accent 1" w:uiPriority="65" w:qFormat="1"/>
    <w:lsdException w:name="Revision" w:semiHidden="1"/>
    <w:lsdException w:name="List Paragraph" w:uiPriority="34" w:qFormat="1"/>
    <w:lsdException w:name="Quote" w:uiPriority="29" w:qFormat="1"/>
    <w:lsdException w:name="Intense Quote" w:uiPriority="30" w:qFormat="1"/>
    <w:lsdException w:name="Medium List 2 Accent 1" w:uiPriority="66" w:qFormat="1"/>
    <w:lsdException w:name="Medium Grid 1 Accent 1" w:uiPriority="67" w:qFormat="1"/>
    <w:lsdException w:name="Medium Grid 2 Accent 1" w:uiPriority="68" w:qFormat="1"/>
    <w:lsdException w:name="Medium Grid 3 Accent 1" w:uiPriority="69" w:qFormat="1"/>
    <w:lsdException w:name="Dark List Accent 1" w:uiPriority="70" w:qFormat="1"/>
    <w:lsdException w:name="Colorful Shading Accent 1" w:uiPriority="71" w:qFormat="1"/>
    <w:lsdException w:name="Colorful List Accent 1" w:uiPriority="72" w:qFormat="1"/>
    <w:lsdException w:name="Colorful Grid Accent 1" w:uiPriority="73" w:qFormat="1"/>
    <w:lsdException w:name="Light Shading Accent 2" w:uiPriority="60" w:qFormat="1"/>
    <w:lsdException w:name="Light List Accent 2" w:uiPriority="61" w:qFormat="1"/>
    <w:lsdException w:name="Light Grid Accent 2" w:uiPriority="62"/>
    <w:lsdException w:name="Medium Shading 1 Accent 2" w:uiPriority="63" w:qFormat="1"/>
    <w:lsdException w:name="Medium Shading 2 Accent 2" w:uiPriority="64" w:qFormat="1"/>
    <w:lsdException w:name="Medium List 1 Accent 2" w:uiPriority="65" w:qFormat="1"/>
    <w:lsdException w:name="Medium List 2 Accent 2" w:uiPriority="66"/>
    <w:lsdException w:name="Medium Grid 1 Accent 2" w:uiPriority="67"/>
    <w:lsdException w:name="Medium Grid 2 Accent 2" w:uiPriority="68" w:qFormat="1"/>
    <w:lsdException w:name="Medium Grid 3 Accent 2" w:uiPriority="69"/>
    <w:lsdException w:name="Dark List Accent 2" w:uiPriority="70" w:qFormat="1"/>
    <w:lsdException w:name="Colorful Shading Accent 2" w:uiPriority="71" w:qFormat="1"/>
    <w:lsdException w:name="Colorful List Accent 2" w:uiPriority="72" w:qFormat="1"/>
    <w:lsdException w:name="Colorful Grid Accent 2" w:uiPriority="73" w:qFormat="1"/>
    <w:lsdException w:name="Light Shading Accent 3" w:uiPriority="60"/>
    <w:lsdException w:name="Light List Accent 3" w:uiPriority="61" w:qFormat="1"/>
    <w:lsdException w:name="Light Grid Accent 3" w:uiPriority="62" w:qFormat="1"/>
    <w:lsdException w:name="Medium Shading 1 Accent 3" w:uiPriority="63" w:qFormat="1"/>
    <w:lsdException w:name="Medium Shading 2 Accent 3" w:uiPriority="64" w:qFormat="1"/>
    <w:lsdException w:name="Medium List 1 Accent 3" w:uiPriority="65"/>
    <w:lsdException w:name="Medium List 2 Accent 3" w:uiPriority="66" w:qFormat="1"/>
    <w:lsdException w:name="Medium Grid 1 Accent 3" w:uiPriority="67" w:qFormat="1"/>
    <w:lsdException w:name="Medium Grid 2 Accent 3" w:uiPriority="68" w:qFormat="1"/>
    <w:lsdException w:name="Medium Grid 3 Accent 3" w:uiPriority="69" w:qFormat="1"/>
    <w:lsdException w:name="Dark List Accent 3" w:uiPriority="70" w:qFormat="1"/>
    <w:lsdException w:name="Colorful Shading Accent 3" w:uiPriority="71" w:qFormat="1"/>
    <w:lsdException w:name="Colorful List Accent 3" w:uiPriority="72" w:qFormat="1"/>
    <w:lsdException w:name="Colorful Grid Accent 3" w:uiPriority="73" w:qFormat="1"/>
    <w:lsdException w:name="Light Shading Accent 4" w:uiPriority="60" w:qFormat="1"/>
    <w:lsdException w:name="Light List Accent 4" w:uiPriority="61" w:qFormat="1"/>
    <w:lsdException w:name="Light Grid Accent 4" w:uiPriority="62" w:qFormat="1"/>
    <w:lsdException w:name="Medium Shading 1 Accent 4" w:uiPriority="63" w:qFormat="1"/>
    <w:lsdException w:name="Medium Shading 2 Accent 4" w:uiPriority="64" w:qFormat="1"/>
    <w:lsdException w:name="Medium List 1 Accent 4" w:uiPriority="65"/>
    <w:lsdException w:name="Medium List 2 Accent 4" w:uiPriority="66" w:qFormat="1"/>
    <w:lsdException w:name="Medium Grid 1 Accent 4" w:uiPriority="67" w:qFormat="1"/>
    <w:lsdException w:name="Medium Grid 2 Accent 4" w:uiPriority="68"/>
    <w:lsdException w:name="Medium Grid 3 Accent 4" w:uiPriority="69" w:qFormat="1"/>
    <w:lsdException w:name="Dark List Accent 4" w:uiPriority="70" w:qFormat="1"/>
    <w:lsdException w:name="Colorful Shading Accent 4" w:uiPriority="71" w:qFormat="1"/>
    <w:lsdException w:name="Colorful List Accent 4" w:uiPriority="72" w:qFormat="1"/>
    <w:lsdException w:name="Colorful Grid Accent 4" w:uiPriority="73" w:qFormat="1"/>
    <w:lsdException w:name="Light Shading Accent 5" w:uiPriority="60" w:qFormat="1"/>
    <w:lsdException w:name="Light List Accent 5" w:uiPriority="61"/>
    <w:lsdException w:name="Light Grid Accent 5" w:uiPriority="62" w:qFormat="1"/>
    <w:lsdException w:name="Medium Shading 1 Accent 5" w:uiPriority="63" w:qFormat="1"/>
    <w:lsdException w:name="Medium Shading 2 Accent 5" w:uiPriority="64" w:qFormat="1"/>
    <w:lsdException w:name="Medium List 1 Accent 5" w:uiPriority="65" w:qFormat="1"/>
    <w:lsdException w:name="Medium List 2 Accent 5" w:uiPriority="66" w:qFormat="1"/>
    <w:lsdException w:name="Medium Grid 1 Accent 5" w:uiPriority="67" w:qFormat="1"/>
    <w:lsdException w:name="Medium Grid 2 Accent 5" w:uiPriority="68"/>
    <w:lsdException w:name="Medium Grid 3 Accent 5" w:uiPriority="69" w:qFormat="1"/>
    <w:lsdException w:name="Dark List Accent 5" w:uiPriority="70" w:qFormat="1"/>
    <w:lsdException w:name="Colorful Shading Accent 5" w:uiPriority="71" w:qFormat="1"/>
    <w:lsdException w:name="Colorful List Accent 5" w:uiPriority="72" w:qFormat="1"/>
    <w:lsdException w:name="Colorful Grid Accent 5" w:uiPriority="73" w:qFormat="1"/>
    <w:lsdException w:name="Light Shading Accent 6" w:uiPriority="60" w:qFormat="1"/>
    <w:lsdException w:name="Light List Accent 6" w:uiPriority="61"/>
    <w:lsdException w:name="Light Grid Accent 6" w:uiPriority="62" w:qFormat="1"/>
    <w:lsdException w:name="Medium Shading 1 Accent 6" w:uiPriority="63" w:qFormat="1"/>
    <w:lsdException w:name="Medium Shading 2 Accent 6" w:uiPriority="64"/>
    <w:lsdException w:name="Medium List 1 Accent 6" w:uiPriority="65" w:qFormat="1"/>
    <w:lsdException w:name="Medium List 2 Accent 6" w:uiPriority="66"/>
    <w:lsdException w:name="Medium Grid 1 Accent 6" w:uiPriority="67"/>
    <w:lsdException w:name="Medium Grid 2 Accent 6" w:uiPriority="68"/>
    <w:lsdException w:name="Medium Grid 3 Accent 6" w:uiPriority="69" w:qFormat="1"/>
    <w:lsdException w:name="Dark List Accent 6" w:uiPriority="70" w:qFormat="1"/>
    <w:lsdException w:name="Colorful Shading Accent 6" w:uiPriority="71" w:qFormat="1"/>
    <w:lsdException w:name="Colorful List Accent 6" w:uiPriority="72" w:qFormat="1"/>
    <w:lsdException w:name="Colorful Grid Accent 6" w:uiPriority="73" w:qFormat="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rPr>
      <w:rFonts w:eastAsiaTheme="minorEastAsia" w:cstheme="minorBidi"/>
      <w:sz w:val="28"/>
      <w:szCs w:val="22"/>
    </w:rPr>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pPr>
      <w:keepNext/>
      <w:keepLines/>
      <w:spacing w:before="20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pPr>
      <w:keepNext/>
      <w:keepLines/>
      <w:spacing w:before="20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pPr>
      <w:keepNext/>
      <w:keepLines/>
      <w:spacing w:before="20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qFormat/>
    <w:pPr>
      <w:spacing w:after="120"/>
    </w:pPr>
  </w:style>
  <w:style w:type="paragraph" w:styleId="BodyText2">
    <w:name w:val="Body Text 2"/>
    <w:basedOn w:val="Normal"/>
    <w:link w:val="BodyText2Char"/>
    <w:uiPriority w:val="99"/>
    <w:unhideWhenUsed/>
    <w:qFormat/>
    <w:pPr>
      <w:spacing w:after="120" w:line="480" w:lineRule="auto"/>
    </w:pPr>
  </w:style>
  <w:style w:type="paragraph" w:styleId="BodyText3">
    <w:name w:val="Body Text 3"/>
    <w:basedOn w:val="Normal"/>
    <w:link w:val="BodyText3Char"/>
    <w:uiPriority w:val="99"/>
    <w:unhideWhenUsed/>
    <w:qFormat/>
    <w:pPr>
      <w:spacing w:after="120"/>
    </w:pPr>
    <w:rPr>
      <w:sz w:val="16"/>
      <w:szCs w:val="16"/>
    </w:rPr>
  </w:style>
  <w:style w:type="paragraph" w:styleId="Caption">
    <w:name w:val="caption"/>
    <w:basedOn w:val="Normal"/>
    <w:next w:val="Normal"/>
    <w:uiPriority w:val="35"/>
    <w:semiHidden/>
    <w:unhideWhenUsed/>
    <w:qFormat/>
    <w:pPr>
      <w:spacing w:line="240" w:lineRule="auto"/>
    </w:pPr>
    <w:rPr>
      <w:b/>
      <w:bCs/>
      <w:color w:val="4F81BD" w:themeColor="accent1"/>
      <w:sz w:val="18"/>
      <w:szCs w:val="18"/>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line="240" w:lineRule="auto"/>
    </w:pPr>
  </w:style>
  <w:style w:type="paragraph" w:styleId="Header">
    <w:name w:val="header"/>
    <w:basedOn w:val="Normal"/>
    <w:link w:val="HeaderChar"/>
    <w:uiPriority w:val="99"/>
    <w:unhideWhenUsed/>
    <w:qFormat/>
    <w:pPr>
      <w:tabs>
        <w:tab w:val="center" w:pos="4680"/>
        <w:tab w:val="right" w:pos="9360"/>
      </w:tabs>
      <w:spacing w:line="240" w:lineRule="auto"/>
    </w:pPr>
  </w:style>
  <w:style w:type="paragraph" w:styleId="List">
    <w:name w:val="List"/>
    <w:basedOn w:val="Normal"/>
    <w:uiPriority w:val="99"/>
    <w:unhideWhenUsed/>
    <w:qFormat/>
    <w:pPr>
      <w:ind w:left="360" w:hanging="360"/>
      <w:contextualSpacing/>
    </w:pPr>
  </w:style>
  <w:style w:type="paragraph" w:styleId="List2">
    <w:name w:val="List 2"/>
    <w:basedOn w:val="Normal"/>
    <w:uiPriority w:val="99"/>
    <w:unhideWhenUsed/>
    <w:qFormat/>
    <w:pPr>
      <w:ind w:left="720" w:hanging="360"/>
      <w:contextualSpacing/>
    </w:pPr>
  </w:style>
  <w:style w:type="paragraph" w:styleId="List3">
    <w:name w:val="List 3"/>
    <w:basedOn w:val="Normal"/>
    <w:uiPriority w:val="99"/>
    <w:unhideWhenUsed/>
    <w:qFormat/>
    <w:pPr>
      <w:ind w:left="1080" w:hanging="360"/>
      <w:contextualSpacing/>
    </w:pPr>
  </w:style>
  <w:style w:type="paragraph" w:styleId="ListBullet">
    <w:name w:val="List Bullet"/>
    <w:basedOn w:val="Normal"/>
    <w:uiPriority w:val="99"/>
    <w:unhideWhenUsed/>
    <w:qFormat/>
    <w:pPr>
      <w:numPr>
        <w:numId w:val="1"/>
      </w:numPr>
      <w:contextualSpacing/>
    </w:pPr>
  </w:style>
  <w:style w:type="paragraph" w:styleId="ListBullet2">
    <w:name w:val="List Bullet 2"/>
    <w:basedOn w:val="Normal"/>
    <w:uiPriority w:val="99"/>
    <w:unhideWhenUsed/>
    <w:qFormat/>
    <w:pPr>
      <w:numPr>
        <w:numId w:val="2"/>
      </w:numPr>
      <w:contextualSpacing/>
    </w:pPr>
  </w:style>
  <w:style w:type="paragraph" w:styleId="ListBullet3">
    <w:name w:val="List Bullet 3"/>
    <w:basedOn w:val="Normal"/>
    <w:uiPriority w:val="99"/>
    <w:unhideWhenUsed/>
    <w:qFormat/>
    <w:pPr>
      <w:numPr>
        <w:numId w:val="3"/>
      </w:numPr>
      <w:contextualSpacing/>
    </w:pPr>
  </w:style>
  <w:style w:type="paragraph" w:styleId="ListContinue">
    <w:name w:val="List Continue"/>
    <w:basedOn w:val="Normal"/>
    <w:uiPriority w:val="99"/>
    <w:unhideWhenUsed/>
    <w:qFormat/>
    <w:pPr>
      <w:spacing w:after="120"/>
      <w:ind w:left="360"/>
      <w:contextualSpacing/>
    </w:pPr>
  </w:style>
  <w:style w:type="paragraph" w:styleId="ListContinue2">
    <w:name w:val="List Continue 2"/>
    <w:basedOn w:val="Normal"/>
    <w:uiPriority w:val="99"/>
    <w:unhideWhenUsed/>
    <w:qFormat/>
    <w:pPr>
      <w:spacing w:after="120"/>
      <w:ind w:left="720"/>
      <w:contextualSpacing/>
    </w:pPr>
  </w:style>
  <w:style w:type="paragraph" w:styleId="ListContinue3">
    <w:name w:val="List Continue 3"/>
    <w:basedOn w:val="Normal"/>
    <w:uiPriority w:val="99"/>
    <w:unhideWhenUsed/>
    <w:pPr>
      <w:spacing w:after="120"/>
      <w:ind w:left="1080"/>
      <w:contextualSpacing/>
    </w:pPr>
  </w:style>
  <w:style w:type="paragraph" w:styleId="ListNumber">
    <w:name w:val="List Number"/>
    <w:basedOn w:val="Normal"/>
    <w:uiPriority w:val="99"/>
    <w:unhideWhenUsed/>
    <w:qFormat/>
    <w:pPr>
      <w:numPr>
        <w:numId w:val="4"/>
      </w:numPr>
      <w:contextualSpacing/>
    </w:pPr>
  </w:style>
  <w:style w:type="paragraph" w:styleId="ListNumber2">
    <w:name w:val="List Number 2"/>
    <w:basedOn w:val="Normal"/>
    <w:uiPriority w:val="99"/>
    <w:unhideWhenUsed/>
    <w:qFormat/>
    <w:pPr>
      <w:numPr>
        <w:numId w:val="5"/>
      </w:numPr>
      <w:contextualSpacing/>
    </w:pPr>
  </w:style>
  <w:style w:type="paragraph" w:styleId="ListNumber3">
    <w:name w:val="List Number 3"/>
    <w:basedOn w:val="Normal"/>
    <w:uiPriority w:val="99"/>
    <w:unhideWhenUsed/>
    <w:qFormat/>
    <w:pPr>
      <w:numPr>
        <w:numId w:val="6"/>
      </w:numPr>
      <w:contextualSpacing/>
    </w:pPr>
  </w:style>
  <w:style w:type="paragraph" w:styleId="MacroText">
    <w:name w:val="macro"/>
    <w:link w:val="MacroTextChar"/>
    <w:uiPriority w:val="99"/>
    <w:unhideWhenUsed/>
    <w:qFormat/>
    <w:pPr>
      <w:tabs>
        <w:tab w:val="left" w:pos="576"/>
        <w:tab w:val="left" w:pos="1152"/>
        <w:tab w:val="left" w:pos="1728"/>
        <w:tab w:val="left" w:pos="2304"/>
        <w:tab w:val="left" w:pos="2880"/>
        <w:tab w:val="left" w:pos="3456"/>
        <w:tab w:val="left" w:pos="4032"/>
      </w:tabs>
      <w:spacing w:after="200" w:line="276" w:lineRule="auto"/>
    </w:pPr>
    <w:rPr>
      <w:rFonts w:ascii="Courier" w:eastAsiaTheme="minorEastAsia" w:hAnsi="Courier" w:cstheme="minorBidi"/>
    </w:rPr>
  </w:style>
  <w:style w:type="paragraph" w:styleId="NormalWeb">
    <w:name w:val="Normal (Web)"/>
    <w:uiPriority w:val="99"/>
    <w:semiHidden/>
    <w:unhideWhenUsed/>
    <w:qFormat/>
    <w:pPr>
      <w:spacing w:beforeAutospacing="1" w:afterAutospacing="1"/>
    </w:pPr>
    <w:rPr>
      <w:sz w:val="24"/>
      <w:szCs w:val="24"/>
      <w:lang w:eastAsia="zh-CN"/>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 w:val="24"/>
      <w:szCs w:val="24"/>
    </w:rPr>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table" w:styleId="LightShading">
    <w:name w:val="Light Shading"/>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Pr>
      <w:color w:val="76923C" w:themeColor="accent3" w:themeShade="BF"/>
    </w:rPr>
    <w:tblPr>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qFormat/>
    <w:rPr>
      <w:color w:val="31849B" w:themeColor="accent5" w:themeShade="BF"/>
    </w:rPr>
    <w:tblPr>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qFormat/>
    <w:rPr>
      <w:color w:val="E36C0A" w:themeColor="accent6" w:themeShade="BF"/>
    </w:rPr>
    <w:tblPr>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qFormat/>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auto"/>
        </w:tcBorders>
      </w:tcPr>
    </w:tblStylePr>
  </w:style>
  <w:style w:type="table" w:styleId="LightGrid-Accent1">
    <w:name w:val="Light Grid Accent 1"/>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table" w:styleId="LightGrid-Accent2">
    <w:name w:val="Light Grid Accent 2"/>
    <w:basedOn w:val="TableNormal"/>
    <w:uiPriority w:val="62"/>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auto"/>
        </w:tcBorders>
      </w:tcPr>
    </w:tblStylePr>
  </w:style>
  <w:style w:type="table" w:styleId="LightGrid-Accent3">
    <w:name w:val="Light Grid Accent 3"/>
    <w:basedOn w:val="TableNormal"/>
    <w:uiPriority w:val="62"/>
    <w:qFormat/>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auto"/>
        </w:tcBorders>
      </w:tcPr>
    </w:tblStylePr>
  </w:style>
  <w:style w:type="table" w:styleId="LightGrid-Accent4">
    <w:name w:val="Light Grid Accent 4"/>
    <w:basedOn w:val="TableNormal"/>
    <w:uiPriority w:val="62"/>
    <w:qFormat/>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auto"/>
        </w:tcBorders>
      </w:tcPr>
    </w:tblStylePr>
  </w:style>
  <w:style w:type="table" w:styleId="LightGrid-Accent5">
    <w:name w:val="Light Grid Accent 5"/>
    <w:basedOn w:val="TableNormal"/>
    <w:uiPriority w:val="62"/>
    <w:qFormat/>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auto"/>
        </w:tcBorders>
      </w:tcPr>
    </w:tblStylePr>
  </w:style>
  <w:style w:type="table" w:styleId="LightGrid-Accent6">
    <w:name w:val="Light Grid Accent 6"/>
    <w:basedOn w:val="TableNormal"/>
    <w:uiPriority w:val="62"/>
    <w:qFormat/>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auto"/>
        </w:tcBorders>
      </w:tcPr>
    </w:tblStylePr>
  </w:style>
  <w:style w:type="table" w:styleId="MediumShading1">
    <w:name w:val="Medium Shading 1"/>
    <w:basedOn w:val="TableNormal"/>
    <w:uiPriority w:val="63"/>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qFormat/>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qFormat/>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qFormat/>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tblPr>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qFormat/>
    <w:rPr>
      <w:color w:val="000000" w:themeColor="text1"/>
    </w:rPr>
    <w:tblPr>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qFormat/>
    <w:rPr>
      <w:color w:val="000000" w:themeColor="text1"/>
    </w:rPr>
    <w:tblPr>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qFormat/>
    <w:rPr>
      <w:color w:val="000000" w:themeColor="text1"/>
    </w:rPr>
    <w:tblPr>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Pr>
      <w:color w:val="000000" w:themeColor="text1"/>
    </w:rPr>
    <w:tblPr>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Pr>
      <w:color w:val="000000" w:themeColor="text1"/>
    </w:rPr>
    <w:tblPr>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qFormat/>
    <w:rPr>
      <w:color w:val="000000" w:themeColor="text1"/>
    </w:rPr>
    <w:tblPr>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qFormat/>
    <w:rPr>
      <w:color w:val="000000" w:themeColor="text1"/>
    </w:rPr>
    <w:tblPr>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qFormat/>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qFormat/>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qFormat/>
    <w:tblPr>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qFormat/>
    <w:tblPr>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tblPr>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qFormat/>
    <w:tblPr>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qFormat/>
    <w:tblPr>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qFormat/>
    <w:tblPr>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tblPr>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qFormat/>
    <w:rPr>
      <w:rFonts w:asciiTheme="majorHAnsi" w:eastAsiaTheme="majorEastAsia" w:hAnsiTheme="majorHAnsi" w:cstheme="majorBidi"/>
      <w:color w:val="000000" w:themeColor="text1"/>
    </w:rPr>
    <w:tblPr>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auto"/>
          <w:insideV w:val="single" w:sz="6" w:space="0" w:color="auto"/>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qFormat/>
    <w:rPr>
      <w:rFonts w:asciiTheme="majorHAnsi" w:eastAsiaTheme="majorEastAsia" w:hAnsiTheme="majorHAnsi" w:cstheme="majorBidi"/>
      <w:color w:val="000000" w:themeColor="text1"/>
    </w:rPr>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auto"/>
          <w:insideV w:val="single" w:sz="6" w:space="0" w:color="auto"/>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qFormat/>
    <w:rPr>
      <w:rFonts w:asciiTheme="majorHAnsi" w:eastAsiaTheme="majorEastAsia" w:hAnsiTheme="majorHAnsi" w:cstheme="majorBidi"/>
      <w:color w:val="000000" w:themeColor="text1"/>
    </w:rPr>
    <w:tblPr>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auto"/>
          <w:insideV w:val="single" w:sz="6" w:space="0" w:color="auto"/>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qFormat/>
    <w:rPr>
      <w:rFonts w:asciiTheme="majorHAnsi" w:eastAsiaTheme="majorEastAsia" w:hAnsiTheme="majorHAnsi" w:cstheme="majorBidi"/>
      <w:color w:val="000000" w:themeColor="text1"/>
    </w:rPr>
    <w:tblPr>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auto"/>
          <w:insideV w:val="single" w:sz="6" w:space="0" w:color="auto"/>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Pr>
      <w:rFonts w:asciiTheme="majorHAnsi" w:eastAsiaTheme="majorEastAsia" w:hAnsiTheme="majorHAnsi" w:cstheme="majorBidi"/>
      <w:color w:val="000000" w:themeColor="text1"/>
    </w:rPr>
    <w:tblPr>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auto"/>
          <w:insideV w:val="single" w:sz="6" w:space="0" w:color="auto"/>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Pr>
      <w:rFonts w:asciiTheme="majorHAnsi" w:eastAsiaTheme="majorEastAsia" w:hAnsiTheme="majorHAnsi" w:cstheme="majorBidi"/>
      <w:color w:val="000000" w:themeColor="text1"/>
    </w:rPr>
    <w:tblPr>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auto"/>
          <w:insideV w:val="single" w:sz="6" w:space="0" w:color="auto"/>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Pr>
      <w:rFonts w:asciiTheme="majorHAnsi" w:eastAsiaTheme="majorEastAsia" w:hAnsiTheme="majorHAnsi" w:cstheme="majorBidi"/>
      <w:color w:val="000000" w:themeColor="text1"/>
    </w:rPr>
    <w:tblPr>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auto"/>
          <w:insideV w:val="single" w:sz="6" w:space="0" w:color="auto"/>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808080" w:themeFill="text1" w:themeFillTint="7F"/>
      </w:tcPr>
    </w:tblStylePr>
  </w:style>
  <w:style w:type="table" w:styleId="MediumGrid3-Accent1">
    <w:name w:val="Medium Grid 3 Accent 1"/>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7BFDE" w:themeFill="accent1" w:themeFillTint="7F"/>
      </w:tcPr>
    </w:tblStylePr>
  </w:style>
  <w:style w:type="table" w:styleId="MediumGrid3-Accent2">
    <w:name w:val="Medium Grid 3 Accent 2"/>
    <w:basedOn w:val="TableNormal"/>
    <w:uiPriority w:val="69"/>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DFA7A6" w:themeFill="accent2" w:themeFillTint="7F"/>
      </w:tcPr>
    </w:tblStylePr>
  </w:style>
  <w:style w:type="table" w:styleId="MediumGrid3-Accent3">
    <w:name w:val="Medium Grid 3 Accent 3"/>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CDDDAC" w:themeFill="accent3" w:themeFillTint="7F"/>
      </w:tcPr>
    </w:tblStylePr>
  </w:style>
  <w:style w:type="table" w:styleId="MediumGrid3-Accent4">
    <w:name w:val="Medium Grid 3 Accent 4"/>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BFB1D0" w:themeFill="accent4" w:themeFillTint="7F"/>
      </w:tcPr>
    </w:tblStylePr>
  </w:style>
  <w:style w:type="table" w:styleId="MediumGrid3-Accent5">
    <w:name w:val="Medium Grid 3 Accent 5"/>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A5D5E2" w:themeFill="accent5" w:themeFillTint="7F"/>
      </w:tcPr>
    </w:tblStylePr>
  </w:style>
  <w:style w:type="table" w:styleId="MediumGrid3-Accent6">
    <w:name w:val="Medium Grid 3 Accent 6"/>
    <w:basedOn w:val="TableNormal"/>
    <w:uiPriority w:val="69"/>
    <w:qFormat/>
    <w:tblPr>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auto"/>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auto"/>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auto"/>
          <w:insideV w:val="single" w:sz="8" w:space="0" w:color="auto"/>
        </w:tcBorders>
        <w:shd w:val="clear" w:color="auto" w:fill="FBCAA2" w:themeFill="accent6" w:themeFillTint="7F"/>
      </w:tcPr>
    </w:tblStylePr>
  </w:style>
  <w:style w:type="table" w:styleId="DarkList">
    <w:name w:val="Dark List"/>
    <w:basedOn w:val="TableNormal"/>
    <w:uiPriority w:val="70"/>
    <w:qFormat/>
    <w:rPr>
      <w:color w:val="FFFFFF" w:themeColor="background1"/>
    </w:rP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qFormat/>
    <w:rPr>
      <w:color w:val="FFFFFF" w:themeColor="background1"/>
    </w:rP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qFormat/>
    <w:rPr>
      <w:color w:val="FFFFFF" w:themeColor="background1"/>
    </w:rP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qFormat/>
    <w:rPr>
      <w:color w:val="FFFFFF" w:themeColor="background1"/>
    </w:rP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qFormat/>
    <w:rPr>
      <w:color w:val="FFFFFF" w:themeColor="background1"/>
    </w:rP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qFormat/>
    <w:rPr>
      <w:color w:val="FFFFFF" w:themeColor="background1"/>
    </w:rP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qFormat/>
    <w:rPr>
      <w:color w:val="FFFFFF" w:themeColor="background1"/>
    </w:rP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qFormat/>
    <w:rPr>
      <w:color w:val="000000" w:themeColor="text1"/>
    </w:rPr>
    <w:tblPr>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qFormat/>
    <w:rPr>
      <w:color w:val="000000" w:themeColor="text1"/>
    </w:rPr>
    <w:tblPr>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qFormat/>
    <w:rPr>
      <w:color w:val="000000" w:themeColor="text1"/>
    </w:rPr>
    <w:tblPr>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qFormat/>
    <w:rPr>
      <w:color w:val="000000" w:themeColor="text1"/>
    </w:rPr>
    <w:tblPr>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qFormat/>
    <w:rPr>
      <w:color w:val="000000" w:themeColor="text1"/>
    </w:rPr>
    <w:tblPr>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qFormat/>
    <w:rPr>
      <w:color w:val="000000" w:themeColor="text1"/>
    </w:rPr>
    <w:tblPr>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qFormat/>
    <w:rPr>
      <w:color w:val="000000" w:themeColor="text1"/>
    </w:rPr>
    <w:tblPr>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auto"/>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qFormat/>
    <w:rPr>
      <w:color w:val="000000" w:themeColor="text1"/>
    </w:rP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qFormat/>
    <w:rPr>
      <w:color w:val="000000" w:themeColor="text1"/>
    </w:rP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qFormat/>
    <w:rPr>
      <w:color w:val="000000" w:themeColor="text1"/>
    </w:rP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qFormat/>
    <w:rPr>
      <w:color w:val="000000" w:themeColor="text1"/>
    </w:rP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qFormat/>
    <w:rPr>
      <w:color w:val="000000" w:themeColor="text1"/>
    </w:rP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qFormat/>
    <w:rPr>
      <w:color w:val="000000" w:themeColor="text1"/>
    </w:rP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qFormat/>
    <w:rPr>
      <w:color w:val="000000" w:themeColor="text1"/>
    </w:rP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qFormat/>
    <w:rPr>
      <w:color w:val="000000" w:themeColor="text1"/>
    </w:rPr>
    <w:tblPr>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qFormat/>
    <w:rPr>
      <w:color w:val="000000" w:themeColor="text1"/>
    </w:rPr>
    <w:tblPr>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qFormat/>
    <w:rPr>
      <w:color w:val="000000" w:themeColor="text1"/>
    </w:rPr>
    <w:tblPr>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qFormat/>
    <w:rPr>
      <w:color w:val="000000" w:themeColor="text1"/>
    </w:rPr>
    <w:tblPr>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qFormat/>
    <w:rPr>
      <w:color w:val="000000" w:themeColor="text1"/>
    </w:rPr>
    <w:tblPr>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qFormat/>
    <w:rPr>
      <w:color w:val="000000" w:themeColor="text1"/>
    </w:rPr>
    <w:tblPr>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qFormat/>
    <w:rPr>
      <w:color w:val="000000" w:themeColor="text1"/>
    </w:rPr>
    <w:tblPr>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NoSpacing">
    <w:name w:val="No Spacing"/>
    <w:uiPriority w:val="1"/>
    <w:qFormat/>
    <w:rPr>
      <w:rFonts w:asciiTheme="minorHAnsi" w:eastAsiaTheme="minorEastAsia" w:hAnsiTheme="minorHAnsi" w:cstheme="minorBidi"/>
      <w:sz w:val="22"/>
      <w:szCs w:val="22"/>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qFormat/>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qFormat/>
    <w:rPr>
      <w:rFonts w:asciiTheme="majorHAnsi" w:eastAsiaTheme="majorEastAsia" w:hAnsiTheme="majorHAnsi" w:cstheme="majorBidi"/>
      <w:b/>
      <w:bCs/>
      <w:color w:val="4F81BD" w:themeColor="accent1"/>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pPr>
      <w:ind w:left="720"/>
      <w:contextualSpacing/>
    </w:pPr>
  </w:style>
  <w:style w:type="character" w:customStyle="1" w:styleId="BodyTextChar">
    <w:name w:val="Body Text Char"/>
    <w:basedOn w:val="DefaultParagraphFont"/>
    <w:link w:val="BodyText"/>
    <w:uiPriority w:val="99"/>
    <w:qFormat/>
  </w:style>
  <w:style w:type="character" w:customStyle="1" w:styleId="BodyText2Char">
    <w:name w:val="Body Text 2 Char"/>
    <w:basedOn w:val="DefaultParagraphFont"/>
    <w:link w:val="BodyText2"/>
    <w:uiPriority w:val="99"/>
    <w:qFormat/>
  </w:style>
  <w:style w:type="character" w:customStyle="1" w:styleId="BodyText3Char">
    <w:name w:val="Body Text 3 Char"/>
    <w:basedOn w:val="DefaultParagraphFont"/>
    <w:link w:val="BodyText3"/>
    <w:uiPriority w:val="99"/>
    <w:qFormat/>
    <w:rPr>
      <w:sz w:val="16"/>
      <w:szCs w:val="16"/>
    </w:rPr>
  </w:style>
  <w:style w:type="character" w:customStyle="1" w:styleId="MacroTextChar">
    <w:name w:val="Macro Text Char"/>
    <w:basedOn w:val="DefaultParagraphFont"/>
    <w:link w:val="MacroText"/>
    <w:uiPriority w:val="99"/>
    <w:qFormat/>
    <w:rPr>
      <w:rFonts w:ascii="Courier" w:hAnsi="Courier"/>
      <w:sz w:val="20"/>
      <w:szCs w:val="20"/>
    </w:rPr>
  </w:style>
  <w:style w:type="paragraph" w:styleId="Quote">
    <w:name w:val="Quote"/>
    <w:basedOn w:val="Normal"/>
    <w:next w:val="Normal"/>
    <w:link w:val="QuoteChar"/>
    <w:uiPriority w:val="29"/>
    <w:qFormat/>
    <w:rPr>
      <w:i/>
      <w:iCs/>
      <w:color w:val="000000" w:themeColor="text1"/>
    </w:rPr>
  </w:style>
  <w:style w:type="character" w:customStyle="1" w:styleId="QuoteChar">
    <w:name w:val="Quote Char"/>
    <w:basedOn w:val="DefaultParagraphFont"/>
    <w:link w:val="Quote"/>
    <w:uiPriority w:val="29"/>
    <w:qFormat/>
    <w:rPr>
      <w:i/>
      <w:iCs/>
      <w:color w:val="000000" w:themeColor="text1"/>
    </w:rPr>
  </w:style>
  <w:style w:type="character" w:customStyle="1" w:styleId="Heading4Char">
    <w:name w:val="Heading 4 Char"/>
    <w:basedOn w:val="DefaultParagraphFont"/>
    <w:link w:val="Heading4"/>
    <w:uiPriority w:val="9"/>
    <w:semiHidden/>
    <w:qFormat/>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qFormat/>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qFormat/>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qFormat/>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qFormat/>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qFormat/>
    <w:rPr>
      <w:rFonts w:asciiTheme="majorHAnsi" w:eastAsiaTheme="majorEastAsia" w:hAnsiTheme="majorHAnsi" w:cstheme="majorBidi"/>
      <w:i/>
      <w:iCs/>
      <w:color w:val="404040" w:themeColor="text1" w:themeTint="BF"/>
      <w:sz w:val="20"/>
      <w:szCs w:val="20"/>
    </w:rPr>
  </w:style>
  <w:style w:type="paragraph" w:styleId="IntenseQuote">
    <w:name w:val="Intense Quote"/>
    <w:basedOn w:val="Normal"/>
    <w:next w:val="Normal"/>
    <w:link w:val="IntenseQuoteChar"/>
    <w:uiPriority w:val="30"/>
    <w:qFormat/>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qFormat/>
    <w:rPr>
      <w:b/>
      <w:bCs/>
      <w:i/>
      <w:iCs/>
      <w:color w:val="4F81BD" w:themeColor="accent1"/>
    </w:rPr>
  </w:style>
  <w:style w:type="character" w:customStyle="1" w:styleId="SubtleEmphasis1">
    <w:name w:val="Subtle Emphasis1"/>
    <w:basedOn w:val="DefaultParagraphFont"/>
    <w:uiPriority w:val="19"/>
    <w:qFormat/>
    <w:rPr>
      <w:i/>
      <w:iCs/>
      <w:color w:val="7F7F7F" w:themeColor="text1" w:themeTint="80"/>
    </w:rPr>
  </w:style>
  <w:style w:type="character" w:customStyle="1" w:styleId="IntenseEmphasis1">
    <w:name w:val="Intense Emphasis1"/>
    <w:basedOn w:val="DefaultParagraphFont"/>
    <w:uiPriority w:val="21"/>
    <w:qFormat/>
    <w:rPr>
      <w:b/>
      <w:bCs/>
      <w:i/>
      <w:iCs/>
      <w:color w:val="4F81BD" w:themeColor="accent1"/>
    </w:rPr>
  </w:style>
  <w:style w:type="character" w:customStyle="1" w:styleId="SubtleReference1">
    <w:name w:val="Subtle Reference1"/>
    <w:basedOn w:val="DefaultParagraphFont"/>
    <w:uiPriority w:val="31"/>
    <w:qFormat/>
    <w:rPr>
      <w:smallCaps/>
      <w:color w:val="C0504D" w:themeColor="accent2"/>
      <w:u w:val="single"/>
    </w:rPr>
  </w:style>
  <w:style w:type="character" w:customStyle="1" w:styleId="IntenseReference1">
    <w:name w:val="Intense Reference1"/>
    <w:basedOn w:val="DefaultParagraphFont"/>
    <w:uiPriority w:val="32"/>
    <w:qFormat/>
    <w:rPr>
      <w:b/>
      <w:bCs/>
      <w:smallCaps/>
      <w:color w:val="C0504D" w:themeColor="accent2"/>
      <w:spacing w:val="5"/>
      <w:u w:val="single"/>
    </w:rPr>
  </w:style>
  <w:style w:type="character" w:customStyle="1" w:styleId="BookTitle1">
    <w:name w:val="Book Title1"/>
    <w:basedOn w:val="DefaultParagraphFont"/>
    <w:uiPriority w:val="33"/>
    <w:qFormat/>
    <w:rPr>
      <w:b/>
      <w:bCs/>
      <w:smallCaps/>
      <w:spacing w:val="5"/>
    </w:rPr>
  </w:style>
  <w:style w:type="paragraph" w:customStyle="1" w:styleId="TOCHeading1">
    <w:name w:val="TOC Heading1"/>
    <w:basedOn w:val="Heading1"/>
    <w:next w:val="Normal"/>
    <w:uiPriority w:val="39"/>
    <w:semiHidden/>
    <w:unhideWhenUsed/>
    <w:qFormat/>
    <w:pPr>
      <w:outlineLvl w:val="9"/>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6</Pages>
  <Words>2147</Words>
  <Characters>12242</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python-docx</dc:creator>
  <dc:description>generated by python-docx</dc:description>
  <cp:lastModifiedBy>TULaoCai</cp:lastModifiedBy>
  <cp:revision>6</cp:revision>
  <dcterms:created xsi:type="dcterms:W3CDTF">2013-12-23T23:15:00Z</dcterms:created>
  <dcterms:modified xsi:type="dcterms:W3CDTF">2026-10-20T02:23:00Z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eyJoZGlkIjoiNTVhZDI4NDEyYzMzNjFhNmQ0OTE0ZWNmZmZlMzNmYWUiLCJ1c2VySWQiOiI4ODEzNzc0MTk3MjczIn0=</vt:lpwstr>
  </property>
  <property fmtid="{D5CDD505-2E9C-101B-9397-08002B2CF9AE}" pid="3" name="KSOProductBuildVer">
    <vt:lpwstr>1033-12.1.0.29162</vt:lpwstr>
  </property>
  <property fmtid="{D5CDD505-2E9C-101B-9397-08002B2CF9AE}" pid="4" name="ICV">
    <vt:lpwstr>063F9A7EF3F546B9B7E9355A6065433B_12</vt:lpwstr>
  </property>
</Properties>
</file>